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0DEB0" w14:textId="21EACD40" w:rsidR="00E95062" w:rsidRPr="001C4526" w:rsidRDefault="00C62642" w:rsidP="004D22D2">
      <w:pPr>
        <w:pStyle w:val="Heading2"/>
        <w:jc w:val="center"/>
        <w:rPr>
          <w:rFonts w:asciiTheme="minorHAnsi" w:hAnsiTheme="minorHAnsi"/>
          <w:color w:val="ED7D31" w:themeColor="accent2"/>
          <w:sz w:val="24"/>
          <w:szCs w:val="24"/>
          <w:lang w:val="fr-FR"/>
        </w:rPr>
      </w:pPr>
      <w:r w:rsidRPr="001C4526">
        <w:rPr>
          <w:sz w:val="24"/>
          <w:szCs w:val="24"/>
          <w:lang w:val="fr"/>
        </w:rPr>
        <w:t>Boîte à outils de suivi et d’évaluation</w:t>
      </w:r>
      <w:r w:rsidRPr="001C4526">
        <w:rPr>
          <w:color w:val="ED7D31" w:themeColor="accent2"/>
          <w:sz w:val="24"/>
          <w:szCs w:val="24"/>
          <w:lang w:val="fr"/>
        </w:rPr>
        <w:t> : Approche PB-Famille</w:t>
      </w:r>
      <w:r w:rsidR="00E95062" w:rsidRPr="001C4526">
        <w:rPr>
          <w:color w:val="ED7D31" w:themeColor="accent2"/>
          <w:sz w:val="24"/>
          <w:szCs w:val="24"/>
          <w:lang w:val="fr"/>
        </w:rPr>
        <w:t xml:space="preserve"> (connu sous le nom de </w:t>
      </w:r>
      <w:r w:rsidRPr="001C4526">
        <w:rPr>
          <w:color w:val="ED7D31" w:themeColor="accent2"/>
          <w:sz w:val="24"/>
          <w:szCs w:val="24"/>
          <w:lang w:val="fr"/>
        </w:rPr>
        <w:t>PB-</w:t>
      </w:r>
      <w:r w:rsidR="00E95062" w:rsidRPr="001C4526">
        <w:rPr>
          <w:color w:val="ED7D31" w:themeColor="accent2"/>
          <w:sz w:val="24"/>
          <w:szCs w:val="24"/>
          <w:lang w:val="fr"/>
        </w:rPr>
        <w:t>mère)</w:t>
      </w:r>
      <w:r w:rsidR="00E95062" w:rsidRPr="001C4526">
        <w:rPr>
          <w:sz w:val="24"/>
          <w:szCs w:val="24"/>
          <w:lang w:val="fr"/>
        </w:rPr>
        <w:t xml:space="preserve"> </w:t>
      </w:r>
    </w:p>
    <w:p w14:paraId="03A2A4D4" w14:textId="0B2351BF" w:rsidR="001C4526" w:rsidRPr="00DC0727" w:rsidRDefault="001C4526" w:rsidP="00D02EC3">
      <w:pPr>
        <w:pStyle w:val="Heading3"/>
        <w:rPr>
          <w:rFonts w:asciiTheme="minorHAnsi" w:hAnsiTheme="minorHAnsi"/>
          <w:color w:val="ED7D31" w:themeColor="accent2"/>
          <w:u w:val="single"/>
          <w:lang w:val="fr-FR"/>
        </w:rPr>
      </w:pPr>
      <w:r w:rsidRPr="00DC0727">
        <w:rPr>
          <w:color w:val="ED7D31" w:themeColor="accent2"/>
          <w:u w:val="single"/>
          <w:lang w:val="fr-FR"/>
        </w:rPr>
        <w:t>Contexte</w:t>
      </w:r>
    </w:p>
    <w:p w14:paraId="1892C13A" w14:textId="725C3545" w:rsidR="00DC0727" w:rsidRPr="00DC0727" w:rsidRDefault="00DC0727" w:rsidP="000C0033">
      <w:pPr>
        <w:jc w:val="both"/>
        <w:rPr>
          <w:lang w:val="fr-FR"/>
        </w:rPr>
      </w:pPr>
      <w:r w:rsidRPr="00187A1F">
        <w:rPr>
          <w:lang w:val="fr"/>
        </w:rPr>
        <w:t xml:space="preserve">L’approche </w:t>
      </w:r>
      <w:r>
        <w:rPr>
          <w:lang w:val="fr"/>
        </w:rPr>
        <w:t>PB-</w:t>
      </w:r>
      <w:r w:rsidRPr="00187A1F">
        <w:rPr>
          <w:lang w:val="fr"/>
        </w:rPr>
        <w:t xml:space="preserve">FAMILLE précédemment connue sous le nom de « Les mères comprennent et peuvent </w:t>
      </w:r>
      <w:r>
        <w:rPr>
          <w:lang w:val="fr"/>
        </w:rPr>
        <w:t>mesure le PB</w:t>
      </w:r>
      <w:r w:rsidRPr="00187A1F">
        <w:rPr>
          <w:lang w:val="fr"/>
        </w:rPr>
        <w:t> » et «</w:t>
      </w:r>
      <w:r>
        <w:rPr>
          <w:lang w:val="fr"/>
        </w:rPr>
        <w:t xml:space="preserve"> PB</w:t>
      </w:r>
      <w:r w:rsidRPr="00187A1F">
        <w:rPr>
          <w:lang w:val="fr"/>
        </w:rPr>
        <w:t xml:space="preserve"> par la mère » a été conçue en 2012 pour permettre aux mères et, plus tard, aux familles (y compris les hommes) d</w:t>
      </w:r>
      <w:r>
        <w:rPr>
          <w:lang w:val="fr"/>
        </w:rPr>
        <w:t>e détecter</w:t>
      </w:r>
      <w:r w:rsidRPr="00187A1F">
        <w:rPr>
          <w:lang w:val="fr"/>
        </w:rPr>
        <w:t xml:space="preserve"> la malnutrition chez leurs propres enfants et de </w:t>
      </w:r>
      <w:r w:rsidR="00E31D94">
        <w:rPr>
          <w:lang w:val="fr"/>
        </w:rPr>
        <w:t>rechercher</w:t>
      </w:r>
      <w:r w:rsidRPr="00187A1F">
        <w:rPr>
          <w:lang w:val="fr"/>
        </w:rPr>
        <w:t xml:space="preserve"> un traitement. De nombreux enfants souffrant de malnutrition aiguë arrivent encore dans des </w:t>
      </w:r>
      <w:r>
        <w:rPr>
          <w:lang w:val="fr"/>
        </w:rPr>
        <w:t>centres de santé</w:t>
      </w:r>
      <w:r w:rsidRPr="00187A1F">
        <w:rPr>
          <w:lang w:val="fr"/>
        </w:rPr>
        <w:t xml:space="preserve"> dans un état critique parce que l</w:t>
      </w:r>
      <w:r w:rsidR="000F51C3">
        <w:rPr>
          <w:lang w:val="fr"/>
        </w:rPr>
        <w:t>a</w:t>
      </w:r>
      <w:r w:rsidRPr="00187A1F">
        <w:rPr>
          <w:lang w:val="fr"/>
        </w:rPr>
        <w:t xml:space="preserve"> malnutrition est diagnostiquée trop tard. Normalement, pour identifier la malnutrition chez les enfants, les agents de santé communautaires</w:t>
      </w:r>
      <w:r w:rsidR="000F51C3">
        <w:rPr>
          <w:lang w:val="fr"/>
        </w:rPr>
        <w:t xml:space="preserve"> (ASC)</w:t>
      </w:r>
      <w:r w:rsidRPr="00187A1F">
        <w:rPr>
          <w:lang w:val="fr"/>
        </w:rPr>
        <w:t xml:space="preserve"> utilisent une mesure rapide de la composition corporelle connue sous le nom de </w:t>
      </w:r>
      <w:r w:rsidR="000F51C3">
        <w:rPr>
          <w:lang w:val="fr"/>
        </w:rPr>
        <w:t xml:space="preserve">périmètre brachial </w:t>
      </w:r>
      <w:r w:rsidRPr="00187A1F">
        <w:rPr>
          <w:lang w:val="fr"/>
        </w:rPr>
        <w:t>(</w:t>
      </w:r>
      <w:r w:rsidR="000F51C3">
        <w:rPr>
          <w:lang w:val="fr"/>
        </w:rPr>
        <w:t>PB</w:t>
      </w:r>
      <w:r w:rsidRPr="00187A1F">
        <w:rPr>
          <w:lang w:val="fr"/>
        </w:rPr>
        <w:t xml:space="preserve">). </w:t>
      </w:r>
      <w:r w:rsidR="000F51C3">
        <w:rPr>
          <w:lang w:val="fr"/>
        </w:rPr>
        <w:t>Le PB</w:t>
      </w:r>
      <w:r w:rsidRPr="00187A1F">
        <w:rPr>
          <w:lang w:val="fr"/>
        </w:rPr>
        <w:t xml:space="preserve"> est une méthodologie qui mesure le point médian du bras et est mondialement reconnue comme un</w:t>
      </w:r>
      <w:r w:rsidR="00097024">
        <w:rPr>
          <w:lang w:val="fr"/>
        </w:rPr>
        <w:t xml:space="preserve"> des</w:t>
      </w:r>
      <w:r w:rsidR="00097024" w:rsidRPr="00187A1F">
        <w:rPr>
          <w:lang w:val="fr"/>
        </w:rPr>
        <w:t xml:space="preserve"> </w:t>
      </w:r>
      <w:r w:rsidR="00097024">
        <w:rPr>
          <w:lang w:val="fr"/>
        </w:rPr>
        <w:t>moyens</w:t>
      </w:r>
      <w:r w:rsidRPr="00187A1F">
        <w:rPr>
          <w:lang w:val="fr"/>
        </w:rPr>
        <w:t xml:space="preserve"> communautaire</w:t>
      </w:r>
      <w:r w:rsidR="00097024">
        <w:rPr>
          <w:lang w:val="fr"/>
        </w:rPr>
        <w:t>s</w:t>
      </w:r>
      <w:r w:rsidRPr="00187A1F">
        <w:rPr>
          <w:lang w:val="fr"/>
        </w:rPr>
        <w:t xml:space="preserve"> </w:t>
      </w:r>
      <w:r w:rsidR="00737EFB">
        <w:rPr>
          <w:lang w:val="fr"/>
        </w:rPr>
        <w:t xml:space="preserve">les plus </w:t>
      </w:r>
      <w:r w:rsidRPr="00187A1F">
        <w:rPr>
          <w:lang w:val="fr"/>
        </w:rPr>
        <w:t xml:space="preserve">pratiques pour identifier les enfants à haut risque de </w:t>
      </w:r>
      <w:r w:rsidR="0082085A">
        <w:rPr>
          <w:lang w:val="fr"/>
        </w:rPr>
        <w:t>mortalité</w:t>
      </w:r>
      <w:r w:rsidRPr="00187A1F">
        <w:rPr>
          <w:lang w:val="fr"/>
        </w:rPr>
        <w:t xml:space="preserve"> à </w:t>
      </w:r>
      <w:r w:rsidR="0082085A">
        <w:rPr>
          <w:lang w:val="fr"/>
        </w:rPr>
        <w:t xml:space="preserve">cause de </w:t>
      </w:r>
      <w:r w:rsidRPr="00187A1F">
        <w:rPr>
          <w:lang w:val="fr"/>
        </w:rPr>
        <w:t>l</w:t>
      </w:r>
      <w:r w:rsidR="0082085A">
        <w:rPr>
          <w:lang w:val="fr"/>
        </w:rPr>
        <w:t>’émaciation</w:t>
      </w:r>
      <w:r w:rsidRPr="00187A1F">
        <w:rPr>
          <w:lang w:val="fr"/>
        </w:rPr>
        <w:t xml:space="preserve">. Normalement, les </w:t>
      </w:r>
      <w:proofErr w:type="spellStart"/>
      <w:r w:rsidR="0082085A">
        <w:rPr>
          <w:lang w:val="fr"/>
        </w:rPr>
        <w:t>ASCs</w:t>
      </w:r>
      <w:proofErr w:type="spellEnd"/>
      <w:r w:rsidRPr="00187A1F">
        <w:rPr>
          <w:lang w:val="fr"/>
        </w:rPr>
        <w:t xml:space="preserve"> mesurent périodiquement ou de manière opportuniste la malnutrition aiguë chez les enfants dans les communautés où ils travaillent</w:t>
      </w:r>
      <w:r w:rsidR="00440277">
        <w:rPr>
          <w:lang w:val="fr"/>
        </w:rPr>
        <w:t xml:space="preserve"> à l’aide de </w:t>
      </w:r>
      <w:r w:rsidR="00440277">
        <w:rPr>
          <w:lang w:val="fr"/>
        </w:rPr>
        <w:t>rubans PB</w:t>
      </w:r>
      <w:r w:rsidRPr="00187A1F">
        <w:rPr>
          <w:lang w:val="fr"/>
        </w:rPr>
        <w:t>. Cependant, comme l</w:t>
      </w:r>
      <w:r w:rsidR="00440277">
        <w:rPr>
          <w:lang w:val="fr"/>
        </w:rPr>
        <w:t>’utilisation de rubans PB</w:t>
      </w:r>
      <w:r w:rsidRPr="00187A1F">
        <w:rPr>
          <w:lang w:val="fr"/>
        </w:rPr>
        <w:t xml:space="preserve"> </w:t>
      </w:r>
      <w:r w:rsidR="00440277">
        <w:rPr>
          <w:lang w:val="fr"/>
        </w:rPr>
        <w:t>est</w:t>
      </w:r>
      <w:r w:rsidRPr="00187A1F">
        <w:rPr>
          <w:lang w:val="fr"/>
        </w:rPr>
        <w:t xml:space="preserve"> relativement simple, ils peuvent être </w:t>
      </w:r>
      <w:r w:rsidR="00440277" w:rsidRPr="00187A1F">
        <w:rPr>
          <w:lang w:val="fr"/>
        </w:rPr>
        <w:t>facilement</w:t>
      </w:r>
      <w:r w:rsidR="00440277">
        <w:rPr>
          <w:lang w:val="fr"/>
        </w:rPr>
        <w:t xml:space="preserve"> utilis</w:t>
      </w:r>
      <w:r w:rsidR="00E31D94" w:rsidRPr="00187A1F">
        <w:rPr>
          <w:lang w:val="fr"/>
        </w:rPr>
        <w:t>é</w:t>
      </w:r>
      <w:r w:rsidR="00440277">
        <w:rPr>
          <w:lang w:val="fr"/>
        </w:rPr>
        <w:t>s</w:t>
      </w:r>
      <w:r w:rsidRPr="00187A1F">
        <w:rPr>
          <w:lang w:val="fr"/>
        </w:rPr>
        <w:t xml:space="preserve"> par les mères ou d’autres soignants</w:t>
      </w:r>
      <w:r w:rsidR="00440277">
        <w:rPr>
          <w:lang w:val="fr"/>
        </w:rPr>
        <w:t xml:space="preserve"> pour détecter la malnutrition</w:t>
      </w:r>
      <w:r w:rsidRPr="00187A1F">
        <w:rPr>
          <w:lang w:val="fr"/>
        </w:rPr>
        <w:t xml:space="preserve">. Avec quelques conseils, </w:t>
      </w:r>
      <w:r w:rsidR="00440277">
        <w:rPr>
          <w:lang w:val="fr"/>
        </w:rPr>
        <w:t>les mères/soignants</w:t>
      </w:r>
      <w:r w:rsidRPr="00187A1F">
        <w:rPr>
          <w:lang w:val="fr"/>
        </w:rPr>
        <w:t xml:space="preserve"> peuvent ensuite mesurer </w:t>
      </w:r>
      <w:r w:rsidR="00440277">
        <w:rPr>
          <w:lang w:val="fr"/>
        </w:rPr>
        <w:t>le PB</w:t>
      </w:r>
      <w:r w:rsidRPr="00187A1F">
        <w:rPr>
          <w:lang w:val="fr"/>
        </w:rPr>
        <w:t xml:space="preserve"> de l’enfan</w:t>
      </w:r>
      <w:r w:rsidR="00440277">
        <w:rPr>
          <w:lang w:val="fr"/>
        </w:rPr>
        <w:t>t</w:t>
      </w:r>
      <w:r w:rsidRPr="00187A1F">
        <w:rPr>
          <w:lang w:val="fr"/>
        </w:rPr>
        <w:t xml:space="preserve"> sur une base plus régulière, identifiant ainsi la baisse de poids avant que la malnutrition ne se produise. Identifier la malnutrition plus tôt signifie qu’un traitement précoce peut être recherché, ce qui peut améliorer considérablement les résultats en matière de santé. </w:t>
      </w:r>
    </w:p>
    <w:p w14:paraId="4EA31D56" w14:textId="5693A5BF" w:rsidR="00E31D94" w:rsidRPr="00E31D94" w:rsidRDefault="00E31D94" w:rsidP="00734F19">
      <w:pPr>
        <w:jc w:val="both"/>
        <w:rPr>
          <w:lang w:val="fr-FR"/>
        </w:rPr>
      </w:pPr>
      <w:r w:rsidRPr="00187A1F">
        <w:rPr>
          <w:lang w:val="fr"/>
        </w:rPr>
        <w:t xml:space="preserve">L’approche </w:t>
      </w:r>
      <w:r w:rsidR="00FA7AA3">
        <w:rPr>
          <w:lang w:val="fr"/>
        </w:rPr>
        <w:t>PB-Famille</w:t>
      </w:r>
      <w:r w:rsidRPr="00187A1F">
        <w:rPr>
          <w:lang w:val="fr"/>
        </w:rPr>
        <w:t xml:space="preserve"> a été pilotée pour la première fois par ALIMA au Niger en 2013-2014 (financée par ECHO) et soutenue par l’UNICEF.  L’approche </w:t>
      </w:r>
      <w:r w:rsidR="00FA7AA3">
        <w:rPr>
          <w:lang w:val="fr"/>
        </w:rPr>
        <w:t>PB-Famille</w:t>
      </w:r>
      <w:r w:rsidRPr="00187A1F">
        <w:rPr>
          <w:lang w:val="fr"/>
        </w:rPr>
        <w:t xml:space="preserve"> est maintenant largement reconnue comme une approche avec un énorme potentiel pour améliorer </w:t>
      </w:r>
      <w:r w:rsidR="00FA7AA3">
        <w:rPr>
          <w:lang w:val="fr"/>
        </w:rPr>
        <w:t>la prévalence</w:t>
      </w:r>
      <w:r w:rsidRPr="00187A1F">
        <w:rPr>
          <w:lang w:val="fr"/>
        </w:rPr>
        <w:t xml:space="preserve"> de la malnutrition à l’échelle mondiale.  La détection précoce des cas signifie également qu’un plus grand nombre d’enfants </w:t>
      </w:r>
      <w:r w:rsidR="00FA7AA3">
        <w:rPr>
          <w:lang w:val="fr"/>
        </w:rPr>
        <w:t xml:space="preserve">est </w:t>
      </w:r>
      <w:r w:rsidRPr="00187A1F">
        <w:rPr>
          <w:lang w:val="fr"/>
        </w:rPr>
        <w:t xml:space="preserve">traité avec succès en moins de temps, ce qui a un effet positif sur la réduction des coûts et du fardeau sur les ressources. </w:t>
      </w:r>
      <w:r w:rsidR="00FA7AA3">
        <w:rPr>
          <w:lang w:val="fr"/>
        </w:rPr>
        <w:t>L’approche</w:t>
      </w:r>
      <w:r w:rsidRPr="00187A1F">
        <w:rPr>
          <w:lang w:val="fr"/>
        </w:rPr>
        <w:t xml:space="preserve"> a également le potentiel d’améliorer la</w:t>
      </w:r>
      <w:r w:rsidR="00FA7AA3">
        <w:rPr>
          <w:lang w:val="fr"/>
        </w:rPr>
        <w:t xml:space="preserve"> qualit</w:t>
      </w:r>
      <w:r w:rsidRPr="00187A1F">
        <w:rPr>
          <w:lang w:val="fr"/>
        </w:rPr>
        <w:t xml:space="preserve">é </w:t>
      </w:r>
      <w:r w:rsidR="00FA7AA3">
        <w:rPr>
          <w:lang w:val="fr"/>
        </w:rPr>
        <w:t>des</w:t>
      </w:r>
      <w:r w:rsidRPr="00187A1F">
        <w:rPr>
          <w:lang w:val="fr"/>
        </w:rPr>
        <w:t xml:space="preserve"> programmes, où les </w:t>
      </w:r>
      <w:proofErr w:type="spellStart"/>
      <w:r w:rsidRPr="00187A1F">
        <w:rPr>
          <w:lang w:val="fr"/>
        </w:rPr>
        <w:t>auto-</w:t>
      </w:r>
      <w:r w:rsidR="00FA7AA3">
        <w:rPr>
          <w:lang w:val="fr"/>
        </w:rPr>
        <w:t>references</w:t>
      </w:r>
      <w:proofErr w:type="spellEnd"/>
      <w:r w:rsidRPr="00187A1F">
        <w:rPr>
          <w:lang w:val="fr"/>
        </w:rPr>
        <w:t xml:space="preserve"> ont tendance à être associées à une meilleure fréquentation, car les </w:t>
      </w:r>
      <w:r w:rsidR="00FA7AA3">
        <w:rPr>
          <w:lang w:val="fr"/>
        </w:rPr>
        <w:t>membres de la communauté</w:t>
      </w:r>
      <w:r w:rsidRPr="00187A1F">
        <w:rPr>
          <w:lang w:val="fr"/>
        </w:rPr>
        <w:t xml:space="preserve"> comprennent mieux que leurs enfants sont malades. Enfin, </w:t>
      </w:r>
      <w:r w:rsidR="00FA7AA3">
        <w:rPr>
          <w:lang w:val="fr"/>
        </w:rPr>
        <w:t>cette approche</w:t>
      </w:r>
      <w:r w:rsidRPr="00187A1F">
        <w:rPr>
          <w:lang w:val="fr"/>
        </w:rPr>
        <w:t xml:space="preserve"> a le potentiel d’augmenter considérablement la couverture, en raison de la décentralisation du service jusqu’au plus petit dénominateur commun. Tous ces résultats positifs créent un cercle vertueux et réduisent par conséquent la morbidité et la mortalité associées à la malnutrition, contribuant également à une réduction de la malnutrition chronique, </w:t>
      </w:r>
      <w:r w:rsidR="00FA7AA3">
        <w:rPr>
          <w:lang w:val="fr"/>
        </w:rPr>
        <w:t>puisque</w:t>
      </w:r>
      <w:r w:rsidRPr="00187A1F">
        <w:rPr>
          <w:lang w:val="fr"/>
        </w:rPr>
        <w:t xml:space="preserve"> les épisodes cycliques de malnutrition aiguë sévère peuvent être évités. </w:t>
      </w:r>
    </w:p>
    <w:p w14:paraId="0AA79AD9" w14:textId="615384B8" w:rsidR="00C41079" w:rsidRPr="00C41079" w:rsidRDefault="00FA7AA3" w:rsidP="0049378B">
      <w:pPr>
        <w:spacing w:after="0" w:line="240" w:lineRule="auto"/>
        <w:jc w:val="both"/>
        <w:rPr>
          <w:lang w:val="fr"/>
        </w:rPr>
      </w:pPr>
      <w:r w:rsidRPr="00187A1F">
        <w:rPr>
          <w:lang w:val="fr"/>
        </w:rPr>
        <w:t xml:space="preserve">Les premiers résultats d’ALIMA </w:t>
      </w:r>
      <w:r>
        <w:rPr>
          <w:lang w:val="fr"/>
        </w:rPr>
        <w:t>sur</w:t>
      </w:r>
      <w:r w:rsidRPr="00187A1F">
        <w:rPr>
          <w:lang w:val="fr"/>
        </w:rPr>
        <w:t xml:space="preserve"> leur projet pilote de 2013-2014 ont montré que le </w:t>
      </w:r>
      <w:r>
        <w:rPr>
          <w:lang w:val="fr"/>
        </w:rPr>
        <w:t>PB</w:t>
      </w:r>
      <w:r w:rsidRPr="00187A1F">
        <w:rPr>
          <w:lang w:val="fr"/>
        </w:rPr>
        <w:t xml:space="preserve"> à l’admission était plus élevé (ce qui signifie que l’enfant souffrait d’une forme moins grave de malnutrition), que les taux d</w:t>
      </w:r>
      <w:r>
        <w:rPr>
          <w:lang w:val="fr"/>
        </w:rPr>
        <w:t>’abandons</w:t>
      </w:r>
      <w:r w:rsidRPr="00187A1F">
        <w:rPr>
          <w:lang w:val="fr"/>
        </w:rPr>
        <w:t xml:space="preserve"> étaient beaucoup plus faibles, que la précision de la mesure des mères était meilleure (moins d’enfants ont été rejetés au niveau de</w:t>
      </w:r>
      <w:r w:rsidR="00C41079">
        <w:rPr>
          <w:lang w:val="fr"/>
        </w:rPr>
        <w:t>s centres de santé</w:t>
      </w:r>
      <w:r w:rsidRPr="00187A1F">
        <w:rPr>
          <w:lang w:val="fr"/>
        </w:rPr>
        <w:t>), qu’une meilleure couverture et que les coûts étaient 2,5 fois inférieurs à ceux de</w:t>
      </w:r>
      <w:r w:rsidR="00C41079">
        <w:rPr>
          <w:lang w:val="fr"/>
        </w:rPr>
        <w:t>s dépistages traditionnels par les</w:t>
      </w:r>
      <w:r w:rsidRPr="00187A1F">
        <w:rPr>
          <w:lang w:val="fr"/>
        </w:rPr>
        <w:t xml:space="preserve"> volontaires communautaires. À la lumière de ces premiers résultats positifs, ALIMA a ensuite mené une étude d’efficacité non randomisée dans deux zones de santé au Niger, au cours de laquelle 12 893 mères et soignants ont été formés contre 36 agents de santé communautaires. La couverture était similaire dans les deux </w:t>
      </w:r>
      <w:r w:rsidR="00C41079">
        <w:rPr>
          <w:lang w:val="fr"/>
        </w:rPr>
        <w:t>groupes (PB-Famille et dépistage traditionnel par les ASC)</w:t>
      </w:r>
      <w:r w:rsidRPr="00187A1F">
        <w:rPr>
          <w:lang w:val="fr"/>
        </w:rPr>
        <w:t>, mais dans l</w:t>
      </w:r>
      <w:r w:rsidR="00C41079">
        <w:rPr>
          <w:lang w:val="fr"/>
        </w:rPr>
        <w:t>e groupe PB-Famille</w:t>
      </w:r>
      <w:r w:rsidRPr="00187A1F">
        <w:rPr>
          <w:lang w:val="fr"/>
        </w:rPr>
        <w:t xml:space="preserve">, spécificité </w:t>
      </w:r>
      <w:r w:rsidR="00C41079">
        <w:rPr>
          <w:lang w:val="fr"/>
        </w:rPr>
        <w:t>du dépistage du PB a été améliorée</w:t>
      </w:r>
      <w:r w:rsidRPr="00187A1F">
        <w:rPr>
          <w:lang w:val="fr"/>
        </w:rPr>
        <w:t>, l</w:t>
      </w:r>
      <w:r w:rsidR="00C41079">
        <w:rPr>
          <w:lang w:val="fr"/>
        </w:rPr>
        <w:t xml:space="preserve">es cas de malnutrition était </w:t>
      </w:r>
      <w:r w:rsidR="00C41079" w:rsidRPr="00187A1F">
        <w:rPr>
          <w:lang w:val="fr"/>
        </w:rPr>
        <w:t>détect</w:t>
      </w:r>
      <w:r w:rsidR="00C41079">
        <w:rPr>
          <w:lang w:val="fr"/>
        </w:rPr>
        <w:t xml:space="preserve">ée de </w:t>
      </w:r>
      <w:proofErr w:type="spellStart"/>
      <w:r w:rsidR="00C41079">
        <w:rPr>
          <w:lang w:val="fr"/>
        </w:rPr>
        <w:t>maniere</w:t>
      </w:r>
      <w:proofErr w:type="spellEnd"/>
      <w:r w:rsidRPr="00187A1F">
        <w:rPr>
          <w:lang w:val="fr"/>
        </w:rPr>
        <w:t xml:space="preserve"> plus précoce</w:t>
      </w:r>
      <w:r w:rsidR="00C41079">
        <w:rPr>
          <w:lang w:val="fr"/>
        </w:rPr>
        <w:t xml:space="preserve"> et il y a eu moins</w:t>
      </w:r>
      <w:r w:rsidRPr="00187A1F">
        <w:rPr>
          <w:lang w:val="fr"/>
        </w:rPr>
        <w:t xml:space="preserve"> de</w:t>
      </w:r>
      <w:r w:rsidR="00C41079">
        <w:rPr>
          <w:lang w:val="fr"/>
        </w:rPr>
        <w:t xml:space="preserve"> </w:t>
      </w:r>
      <w:r w:rsidRPr="00187A1F">
        <w:rPr>
          <w:lang w:val="fr"/>
        </w:rPr>
        <w:t>cas</w:t>
      </w:r>
      <w:r w:rsidR="00C41079">
        <w:rPr>
          <w:lang w:val="fr"/>
        </w:rPr>
        <w:t xml:space="preserve"> de malnutrition ayant</w:t>
      </w:r>
      <w:r w:rsidRPr="00187A1F">
        <w:rPr>
          <w:lang w:val="fr"/>
        </w:rPr>
        <w:t xml:space="preserve"> nécessité </w:t>
      </w:r>
      <w:r w:rsidR="00C41079">
        <w:rPr>
          <w:lang w:val="fr"/>
        </w:rPr>
        <w:t>une</w:t>
      </w:r>
      <w:r w:rsidRPr="00187A1F">
        <w:rPr>
          <w:lang w:val="fr"/>
        </w:rPr>
        <w:t xml:space="preserve"> hospitalis</w:t>
      </w:r>
      <w:r w:rsidR="00C41079">
        <w:rPr>
          <w:lang w:val="fr"/>
        </w:rPr>
        <w:t>ation</w:t>
      </w:r>
      <w:r w:rsidRPr="00187A1F">
        <w:rPr>
          <w:lang w:val="fr"/>
        </w:rPr>
        <w:t>. La formation des mères nécessitait des coûts d</w:t>
      </w:r>
      <w:r w:rsidR="00C41079">
        <w:rPr>
          <w:lang w:val="fr"/>
        </w:rPr>
        <w:t xml:space="preserve">e </w:t>
      </w:r>
      <w:r w:rsidR="00C41079">
        <w:rPr>
          <w:lang w:val="fr"/>
        </w:rPr>
        <w:lastRenderedPageBreak/>
        <w:t>démarrage</w:t>
      </w:r>
      <w:r w:rsidRPr="00187A1F">
        <w:rPr>
          <w:lang w:val="fr"/>
        </w:rPr>
        <w:t xml:space="preserve"> plus élevés, mais les coûts globaux pour l’année étaient beaucoup plus </w:t>
      </w:r>
      <w:proofErr w:type="gramStart"/>
      <w:r w:rsidRPr="00187A1F">
        <w:rPr>
          <w:lang w:val="fr"/>
        </w:rPr>
        <w:t>faibles</w:t>
      </w:r>
      <w:r>
        <w:rPr>
          <w:lang w:val="fr"/>
        </w:rPr>
        <w:t xml:space="preserve"> </w:t>
      </w:r>
      <w:r w:rsidRPr="00187A1F">
        <w:rPr>
          <w:lang w:val="fr"/>
        </w:rPr>
        <w:t xml:space="preserve"> (</w:t>
      </w:r>
      <w:proofErr w:type="gramEnd"/>
      <w:r w:rsidRPr="00187A1F">
        <w:rPr>
          <w:lang w:val="fr"/>
        </w:rPr>
        <w:t>8 600 USD contre 21 980 USD)</w:t>
      </w:r>
      <w:r>
        <w:rPr>
          <w:rStyle w:val="FootnoteReference"/>
          <w:lang w:val="fr"/>
        </w:rPr>
        <w:footnoteReference w:id="2"/>
      </w:r>
      <w:r w:rsidR="00C41079">
        <w:rPr>
          <w:lang w:val="fr"/>
        </w:rPr>
        <w:t xml:space="preserve">. </w:t>
      </w:r>
      <w:r w:rsidRPr="00187A1F">
        <w:rPr>
          <w:lang w:val="fr"/>
        </w:rPr>
        <w:t>Voir le court extrait suivant pour illustrer le travail des A</w:t>
      </w:r>
      <w:r w:rsidR="00C41079">
        <w:rPr>
          <w:lang w:val="fr"/>
        </w:rPr>
        <w:t xml:space="preserve">LIMA </w:t>
      </w:r>
      <w:r w:rsidRPr="00187A1F">
        <w:rPr>
          <w:lang w:val="fr"/>
        </w:rPr>
        <w:t>dans ce domaine :</w:t>
      </w:r>
    </w:p>
    <w:p w14:paraId="32374D84" w14:textId="77777777" w:rsidR="00F62242" w:rsidRPr="00C41079" w:rsidRDefault="00C41079" w:rsidP="00F62242">
      <w:pPr>
        <w:pStyle w:val="ListParagraph"/>
        <w:numPr>
          <w:ilvl w:val="0"/>
          <w:numId w:val="3"/>
        </w:numPr>
        <w:spacing w:after="0" w:line="240" w:lineRule="auto"/>
        <w:jc w:val="both"/>
        <w:rPr>
          <w:rStyle w:val="Hyperlink"/>
          <w:color w:val="auto"/>
          <w:u w:val="none"/>
          <w:lang w:val="fr-FR"/>
        </w:rPr>
      </w:pPr>
      <w:hyperlink r:id="rId11" w:history="1">
        <w:r w:rsidR="00F62242" w:rsidRPr="00C41079">
          <w:rPr>
            <w:rStyle w:val="Hyperlink"/>
            <w:lang w:val="fr-FR"/>
          </w:rPr>
          <w:t>https://www.youtube.com/watch?time_continue=72&amp;v=V2bDNKjQXsA</w:t>
        </w:r>
      </w:hyperlink>
      <w:r w:rsidR="00F62242" w:rsidRPr="00C41079">
        <w:rPr>
          <w:rStyle w:val="Hyperlink"/>
          <w:color w:val="auto"/>
          <w:u w:val="none"/>
          <w:lang w:val="fr-FR"/>
        </w:rPr>
        <w:t xml:space="preserve"> </w:t>
      </w:r>
    </w:p>
    <w:p w14:paraId="0EA5910E" w14:textId="77777777" w:rsidR="00F62242" w:rsidRPr="00187A1F" w:rsidRDefault="00C41079" w:rsidP="00F62242">
      <w:pPr>
        <w:pStyle w:val="ListParagraph"/>
        <w:numPr>
          <w:ilvl w:val="0"/>
          <w:numId w:val="3"/>
        </w:numPr>
        <w:spacing w:after="0" w:line="240" w:lineRule="auto"/>
        <w:jc w:val="both"/>
      </w:pPr>
      <w:hyperlink r:id="rId12" w:history="1">
        <w:r w:rsidR="00F62242" w:rsidRPr="00EC0EBB">
          <w:rPr>
            <w:rStyle w:val="Hyperlink"/>
          </w:rPr>
          <w:t>https://www.youtube.com/watch?v=V2bIYUjtq38</w:t>
        </w:r>
      </w:hyperlink>
      <w:r w:rsidR="00187A1F" w:rsidRPr="00187A1F">
        <w:t xml:space="preserve"> </w:t>
      </w:r>
    </w:p>
    <w:p w14:paraId="00BA803C" w14:textId="77777777" w:rsidR="00187A1F" w:rsidRPr="00187A1F" w:rsidRDefault="00187A1F" w:rsidP="00187A1F">
      <w:pPr>
        <w:spacing w:after="0" w:line="240" w:lineRule="auto"/>
        <w:jc w:val="both"/>
      </w:pPr>
    </w:p>
    <w:p w14:paraId="0EAA2503" w14:textId="272574F3" w:rsidR="00FA7AA3" w:rsidRPr="00FA7AA3" w:rsidRDefault="00FA7AA3" w:rsidP="00F84466">
      <w:pPr>
        <w:spacing w:after="0" w:line="240" w:lineRule="auto"/>
        <w:jc w:val="both"/>
        <w:rPr>
          <w:lang w:val="fr-FR"/>
        </w:rPr>
      </w:pPr>
      <w:r w:rsidRPr="00187A1F">
        <w:rPr>
          <w:lang w:val="fr"/>
        </w:rPr>
        <w:t xml:space="preserve">Les résultats programmatiques de GOAL générés à </w:t>
      </w:r>
      <w:proofErr w:type="spellStart"/>
      <w:r w:rsidRPr="00187A1F">
        <w:rPr>
          <w:lang w:val="fr"/>
        </w:rPr>
        <w:t>Maiwut</w:t>
      </w:r>
      <w:proofErr w:type="spellEnd"/>
      <w:r w:rsidRPr="00187A1F">
        <w:rPr>
          <w:lang w:val="fr"/>
        </w:rPr>
        <w:t xml:space="preserve">, </w:t>
      </w:r>
      <w:r>
        <w:rPr>
          <w:lang w:val="fr"/>
        </w:rPr>
        <w:t xml:space="preserve">au Soudan du Sud, </w:t>
      </w:r>
      <w:r w:rsidRPr="00187A1F">
        <w:rPr>
          <w:lang w:val="fr"/>
        </w:rPr>
        <w:t>ont été analysés, comparant les données d’octobre 2014 à juin 2015 avec les</w:t>
      </w:r>
      <w:r>
        <w:rPr>
          <w:lang w:val="fr"/>
        </w:rPr>
        <w:t xml:space="preserve"> données d’octobre </w:t>
      </w:r>
      <w:r w:rsidRPr="00187A1F">
        <w:rPr>
          <w:lang w:val="fr"/>
        </w:rPr>
        <w:t>2015 à juin 2016. Les résultats ont montré que les admissions d’enfants</w:t>
      </w:r>
      <w:r>
        <w:rPr>
          <w:lang w:val="fr"/>
        </w:rPr>
        <w:t xml:space="preserve"> souffrant de SAM</w:t>
      </w:r>
      <w:r w:rsidRPr="00187A1F">
        <w:rPr>
          <w:lang w:val="fr"/>
        </w:rPr>
        <w:t xml:space="preserve"> ont augmenté de 47%</w:t>
      </w:r>
      <w:r>
        <w:rPr>
          <w:lang w:val="fr"/>
        </w:rPr>
        <w:t xml:space="preserve"> dans les CRENAS</w:t>
      </w:r>
      <w:r w:rsidRPr="00187A1F">
        <w:rPr>
          <w:lang w:val="fr"/>
        </w:rPr>
        <w:t xml:space="preserve">, les admissions d’enfants MAM de 75% </w:t>
      </w:r>
      <w:r>
        <w:rPr>
          <w:lang w:val="fr"/>
        </w:rPr>
        <w:t xml:space="preserve">dans les CRENAM </w:t>
      </w:r>
      <w:r w:rsidRPr="00187A1F">
        <w:rPr>
          <w:lang w:val="fr"/>
        </w:rPr>
        <w:t xml:space="preserve">et les admissions de </w:t>
      </w:r>
      <w:r>
        <w:rPr>
          <w:lang w:val="fr"/>
        </w:rPr>
        <w:t xml:space="preserve">FEA </w:t>
      </w:r>
      <w:r w:rsidRPr="00187A1F">
        <w:rPr>
          <w:lang w:val="fr"/>
        </w:rPr>
        <w:t>MAM de 24%</w:t>
      </w:r>
      <w:r>
        <w:rPr>
          <w:lang w:val="fr"/>
        </w:rPr>
        <w:t xml:space="preserve"> dans les CRENAM</w:t>
      </w:r>
      <w:r w:rsidRPr="00187A1F">
        <w:rPr>
          <w:lang w:val="fr"/>
        </w:rPr>
        <w:t xml:space="preserve">. Les enquêtes SMART ont pu montrer que </w:t>
      </w:r>
      <w:r>
        <w:rPr>
          <w:lang w:val="fr"/>
        </w:rPr>
        <w:t xml:space="preserve">la </w:t>
      </w:r>
      <w:r w:rsidRPr="00187A1F">
        <w:rPr>
          <w:lang w:val="fr"/>
        </w:rPr>
        <w:t xml:space="preserve">prévalence de </w:t>
      </w:r>
      <w:r>
        <w:rPr>
          <w:lang w:val="fr"/>
        </w:rPr>
        <w:t xml:space="preserve">la </w:t>
      </w:r>
      <w:proofErr w:type="gramStart"/>
      <w:r>
        <w:rPr>
          <w:lang w:val="fr"/>
        </w:rPr>
        <w:t xml:space="preserve">malnutrition </w:t>
      </w:r>
      <w:r w:rsidRPr="00187A1F">
        <w:rPr>
          <w:lang w:val="fr"/>
        </w:rPr>
        <w:t xml:space="preserve"> sont</w:t>
      </w:r>
      <w:proofErr w:type="gramEnd"/>
      <w:r w:rsidRPr="00187A1F">
        <w:rPr>
          <w:lang w:val="fr"/>
        </w:rPr>
        <w:t xml:space="preserve"> restés similaires entre les années compar</w:t>
      </w:r>
      <w:r>
        <w:rPr>
          <w:lang w:val="fr"/>
        </w:rPr>
        <w:t>ées</w:t>
      </w:r>
      <w:r w:rsidRPr="00187A1F">
        <w:rPr>
          <w:lang w:val="fr"/>
        </w:rPr>
        <w:t xml:space="preserve"> et il est donc probable que les améliorations étaient attribuables à l’initiative.</w:t>
      </w:r>
    </w:p>
    <w:p w14:paraId="2559A975" w14:textId="77777777" w:rsidR="00BF7135" w:rsidRPr="00FA7AA3" w:rsidRDefault="00BF7135" w:rsidP="00BF7135">
      <w:pPr>
        <w:rPr>
          <w:lang w:val="fr-FR"/>
        </w:rPr>
      </w:pPr>
    </w:p>
    <w:p w14:paraId="6CE81F34" w14:textId="42D00DAB" w:rsidR="002A1C1C" w:rsidRPr="00E31D94" w:rsidRDefault="00E31D94" w:rsidP="002A1C1C">
      <w:pPr>
        <w:pStyle w:val="Heading3"/>
        <w:rPr>
          <w:rFonts w:asciiTheme="minorHAnsi" w:hAnsiTheme="minorHAnsi"/>
          <w:color w:val="ED7D31" w:themeColor="accent2"/>
          <w:u w:val="single"/>
          <w:lang w:val="fr-FR"/>
        </w:rPr>
      </w:pPr>
      <w:r>
        <w:rPr>
          <w:color w:val="ED7D31" w:themeColor="accent2"/>
          <w:u w:val="single"/>
          <w:lang w:val="fr"/>
        </w:rPr>
        <w:t xml:space="preserve">Introduction et objectif de la boîte à outils </w:t>
      </w:r>
    </w:p>
    <w:p w14:paraId="1D24B5AA" w14:textId="41F93C66" w:rsidR="00E31D94" w:rsidRPr="00E31D94" w:rsidRDefault="00E31D94" w:rsidP="00A86E64">
      <w:pPr>
        <w:rPr>
          <w:lang w:val="fr-FR"/>
        </w:rPr>
      </w:pPr>
      <w:r>
        <w:rPr>
          <w:lang w:val="fr"/>
        </w:rPr>
        <w:t>La boîte à outils de suivi et d’évaluation a été développée par GOAL pour mesurer les indicateurs de processus et de résultats de l’approche PB-Famille.</w:t>
      </w:r>
    </w:p>
    <w:p w14:paraId="1B3F0D82" w14:textId="729C20FC" w:rsidR="00E31D94" w:rsidRPr="00483533" w:rsidRDefault="00E31D94" w:rsidP="00483533">
      <w:pPr>
        <w:pStyle w:val="Heading3"/>
        <w:rPr>
          <w:rFonts w:asciiTheme="minorHAnsi" w:hAnsiTheme="minorHAnsi"/>
          <w:color w:val="ED7D31" w:themeColor="accent2"/>
          <w:u w:val="single"/>
          <w:lang w:val="fr-FR"/>
        </w:rPr>
      </w:pPr>
      <w:r>
        <w:rPr>
          <w:color w:val="ED7D31" w:themeColor="accent2"/>
          <w:u w:val="single"/>
          <w:lang w:val="fr"/>
        </w:rPr>
        <w:t xml:space="preserve">Que mesure la boîte à outils </w:t>
      </w:r>
      <w:r w:rsidR="00483533">
        <w:rPr>
          <w:color w:val="ED7D31" w:themeColor="accent2"/>
          <w:u w:val="single"/>
          <w:lang w:val="fr"/>
        </w:rPr>
        <w:t>PB-Famille</w:t>
      </w:r>
      <w:r>
        <w:rPr>
          <w:color w:val="ED7D31" w:themeColor="accent2"/>
          <w:u w:val="single"/>
          <w:lang w:val="fr"/>
        </w:rPr>
        <w:t xml:space="preserve"> ?</w:t>
      </w:r>
    </w:p>
    <w:tbl>
      <w:tblPr>
        <w:tblStyle w:val="TableGrid"/>
        <w:tblW w:w="0" w:type="auto"/>
        <w:tblLook w:val="04A0" w:firstRow="1" w:lastRow="0" w:firstColumn="1" w:lastColumn="0" w:noHBand="0" w:noVBand="1"/>
      </w:tblPr>
      <w:tblGrid>
        <w:gridCol w:w="9242"/>
      </w:tblGrid>
      <w:tr w:rsidR="0058628A" w:rsidRPr="00A838F1" w14:paraId="5883DD0E" w14:textId="77777777" w:rsidTr="00D07529">
        <w:tc>
          <w:tcPr>
            <w:tcW w:w="9242" w:type="dxa"/>
            <w:shd w:val="clear" w:color="auto" w:fill="D9D9D9" w:themeFill="background1" w:themeFillShade="D9"/>
          </w:tcPr>
          <w:p w14:paraId="2C1634FA" w14:textId="661981DB" w:rsidR="00483533" w:rsidRDefault="00483533" w:rsidP="00D54A5A">
            <w:r>
              <w:rPr>
                <w:lang w:val="fr"/>
              </w:rPr>
              <w:t>Indicateur d’impact :</w:t>
            </w:r>
          </w:p>
          <w:p w14:paraId="11695F8D" w14:textId="71C0CFBA" w:rsidR="00A838F1" w:rsidRDefault="00A838F1" w:rsidP="00A838F1">
            <w:pPr>
              <w:pStyle w:val="ListParagraph"/>
              <w:numPr>
                <w:ilvl w:val="0"/>
                <w:numId w:val="12"/>
              </w:numPr>
              <w:rPr>
                <w:lang w:val="fr-FR"/>
              </w:rPr>
            </w:pPr>
            <w:r w:rsidRPr="00A838F1">
              <w:rPr>
                <w:rFonts w:hint="eastAsia"/>
                <w:lang w:val="fr-FR"/>
              </w:rPr>
              <w:t>% des mesures correctes de PB réalisées par les mères/</w:t>
            </w:r>
            <w:r>
              <w:rPr>
                <w:lang w:val="fr-FR"/>
              </w:rPr>
              <w:t>soignants</w:t>
            </w:r>
            <w:r w:rsidRPr="00A838F1">
              <w:rPr>
                <w:rFonts w:hint="eastAsia"/>
                <w:lang w:val="fr-FR"/>
              </w:rPr>
              <w:t xml:space="preserve"> par rapport aux ASC référencés formés par GOAL. </w:t>
            </w:r>
          </w:p>
          <w:p w14:paraId="23964FE6" w14:textId="11FD43B1" w:rsidR="00A838F1" w:rsidRPr="00A838F1" w:rsidRDefault="00A838F1" w:rsidP="00A838F1">
            <w:pPr>
              <w:pStyle w:val="ListParagraph"/>
              <w:numPr>
                <w:ilvl w:val="0"/>
                <w:numId w:val="12"/>
              </w:numPr>
              <w:rPr>
                <w:lang w:val="fr-FR"/>
              </w:rPr>
            </w:pPr>
            <w:r w:rsidRPr="00A838F1">
              <w:rPr>
                <w:rFonts w:hint="eastAsia"/>
                <w:lang w:val="fr-FR"/>
              </w:rPr>
              <w:t>% des auto-références effectuées par les mères/</w:t>
            </w:r>
            <w:r>
              <w:rPr>
                <w:lang w:val="fr-FR"/>
              </w:rPr>
              <w:t>soignants</w:t>
            </w:r>
            <w:r w:rsidRPr="00A838F1">
              <w:rPr>
                <w:rFonts w:hint="eastAsia"/>
                <w:lang w:val="fr-FR"/>
              </w:rPr>
              <w:t xml:space="preserve"> se présentant </w:t>
            </w:r>
            <w:r>
              <w:rPr>
                <w:lang w:val="fr-FR"/>
              </w:rPr>
              <w:t>au centre</w:t>
            </w:r>
            <w:r w:rsidRPr="00A838F1">
              <w:rPr>
                <w:rFonts w:hint="eastAsia"/>
                <w:lang w:val="fr-FR"/>
              </w:rPr>
              <w:t xml:space="preserve"> de santé qui sont exactes. </w:t>
            </w:r>
          </w:p>
        </w:tc>
      </w:tr>
      <w:tr w:rsidR="0058628A" w:rsidRPr="00A838F1" w14:paraId="6ABCFCA0" w14:textId="77777777" w:rsidTr="00D07529">
        <w:tc>
          <w:tcPr>
            <w:tcW w:w="9242" w:type="dxa"/>
            <w:shd w:val="clear" w:color="auto" w:fill="F2F2F2" w:themeFill="background1" w:themeFillShade="F2"/>
          </w:tcPr>
          <w:p w14:paraId="29845619" w14:textId="51A76878" w:rsidR="00483533" w:rsidRDefault="00483533" w:rsidP="000E6734">
            <w:r>
              <w:rPr>
                <w:lang w:val="fr"/>
              </w:rPr>
              <w:t>Indicateur de résultat :</w:t>
            </w:r>
          </w:p>
          <w:p w14:paraId="742F7ABA" w14:textId="77777777" w:rsidR="00A838F1" w:rsidRDefault="00A838F1" w:rsidP="00A838F1">
            <w:pPr>
              <w:pStyle w:val="ListParagraph"/>
              <w:numPr>
                <w:ilvl w:val="0"/>
                <w:numId w:val="14"/>
              </w:numPr>
              <w:rPr>
                <w:lang w:val="fr-FR"/>
              </w:rPr>
            </w:pPr>
            <w:r w:rsidRPr="00A838F1">
              <w:rPr>
                <w:rFonts w:hint="eastAsia"/>
                <w:lang w:val="fr-FR"/>
              </w:rPr>
              <w:t># de rubans MUAC distribué</w:t>
            </w:r>
            <w:r>
              <w:rPr>
                <w:lang w:val="fr-FR"/>
              </w:rPr>
              <w:t>s</w:t>
            </w:r>
          </w:p>
          <w:p w14:paraId="7F5C17EC" w14:textId="04DA91B2" w:rsidR="00A838F1" w:rsidRDefault="00A838F1" w:rsidP="00A838F1">
            <w:pPr>
              <w:pStyle w:val="ListParagraph"/>
              <w:numPr>
                <w:ilvl w:val="0"/>
                <w:numId w:val="14"/>
              </w:numPr>
              <w:rPr>
                <w:lang w:val="fr-FR"/>
              </w:rPr>
            </w:pPr>
            <w:r w:rsidRPr="00A838F1">
              <w:rPr>
                <w:rFonts w:hint="eastAsia"/>
                <w:lang w:val="fr-FR"/>
              </w:rPr>
              <w:t xml:space="preserve"># </w:t>
            </w:r>
            <w:r>
              <w:rPr>
                <w:lang w:val="fr-FR"/>
              </w:rPr>
              <w:t xml:space="preserve">de </w:t>
            </w:r>
            <w:r w:rsidRPr="00A838F1">
              <w:rPr>
                <w:rFonts w:hint="eastAsia"/>
                <w:lang w:val="fr-FR"/>
              </w:rPr>
              <w:t>mères/</w:t>
            </w:r>
            <w:r>
              <w:rPr>
                <w:lang w:val="fr-FR"/>
              </w:rPr>
              <w:t>soignants</w:t>
            </w:r>
            <w:r w:rsidRPr="00A838F1">
              <w:rPr>
                <w:rFonts w:hint="eastAsia"/>
                <w:lang w:val="fr-FR"/>
              </w:rPr>
              <w:t xml:space="preserve"> formé(e)s au dépistage PB de leurs enfants et à l</w:t>
            </w:r>
            <w:r>
              <w:rPr>
                <w:lang w:val="fr-FR"/>
              </w:rPr>
              <w:t xml:space="preserve">a détection </w:t>
            </w:r>
            <w:r w:rsidRPr="00A838F1">
              <w:rPr>
                <w:rFonts w:hint="eastAsia"/>
                <w:lang w:val="fr-FR"/>
              </w:rPr>
              <w:t>des œdèmes nutritionnels dans la zone de couverture des centres de sante offrant la prise en charge de la malnutrition aiguë</w:t>
            </w:r>
          </w:p>
          <w:p w14:paraId="2126DB6F" w14:textId="3651A044" w:rsidR="00A838F1" w:rsidRPr="00A838F1" w:rsidRDefault="00A838F1" w:rsidP="00A838F1">
            <w:pPr>
              <w:pStyle w:val="ListParagraph"/>
              <w:numPr>
                <w:ilvl w:val="0"/>
                <w:numId w:val="14"/>
              </w:numPr>
              <w:rPr>
                <w:lang w:val="fr-FR"/>
              </w:rPr>
            </w:pPr>
            <w:r w:rsidRPr="00A838F1">
              <w:rPr>
                <w:rFonts w:hint="eastAsia"/>
                <w:lang w:val="fr-FR"/>
              </w:rPr>
              <w:t># des auto-références vers des établissements de santé par les mères/</w:t>
            </w:r>
            <w:r>
              <w:rPr>
                <w:lang w:val="fr-FR"/>
              </w:rPr>
              <w:t>soignants</w:t>
            </w:r>
            <w:r w:rsidRPr="00A838F1">
              <w:rPr>
                <w:rFonts w:hint="eastAsia"/>
                <w:lang w:val="fr-FR"/>
              </w:rPr>
              <w:t xml:space="preserve"> qui amènent leurs enfants après un dépistage à la maison </w:t>
            </w:r>
          </w:p>
        </w:tc>
      </w:tr>
    </w:tbl>
    <w:p w14:paraId="10E20389" w14:textId="77777777" w:rsidR="00E31D94" w:rsidRPr="00A838F1" w:rsidRDefault="00E31D94" w:rsidP="00FC741A">
      <w:pPr>
        <w:rPr>
          <w:lang w:val="fr-FR"/>
        </w:rPr>
      </w:pPr>
    </w:p>
    <w:p w14:paraId="27506BCF" w14:textId="46C9B5A7" w:rsidR="00E31D94" w:rsidRPr="00E31D94" w:rsidRDefault="00E31D94" w:rsidP="00194B13">
      <w:pPr>
        <w:pStyle w:val="Heading3"/>
        <w:rPr>
          <w:rFonts w:asciiTheme="minorHAnsi" w:hAnsiTheme="minorHAnsi"/>
          <w:color w:val="ED7D31" w:themeColor="accent2"/>
          <w:u w:val="single"/>
          <w:lang w:val="fr-FR"/>
        </w:rPr>
      </w:pPr>
      <w:r w:rsidRPr="00E31D94">
        <w:rPr>
          <w:color w:val="ED7D31" w:themeColor="accent2"/>
          <w:u w:val="single"/>
          <w:lang w:val="fr"/>
        </w:rPr>
        <w:t xml:space="preserve">Contenu de la boîte à outils de suivi et d’évaluation de </w:t>
      </w:r>
      <w:r>
        <w:rPr>
          <w:color w:val="ED7D31" w:themeColor="accent2"/>
          <w:u w:val="single"/>
          <w:lang w:val="fr"/>
        </w:rPr>
        <w:t>l’approche PB-</w:t>
      </w:r>
      <w:r w:rsidRPr="00E31D94">
        <w:rPr>
          <w:color w:val="ED7D31" w:themeColor="accent2"/>
          <w:u w:val="single"/>
          <w:lang w:val="fr"/>
        </w:rPr>
        <w:t xml:space="preserve">Famille </w:t>
      </w:r>
    </w:p>
    <w:p w14:paraId="254FA2E5" w14:textId="52F9B418" w:rsidR="00E31D94" w:rsidRPr="00E31D94" w:rsidRDefault="00E31D94" w:rsidP="002A1C1C">
      <w:pPr>
        <w:rPr>
          <w:lang w:val="fr-FR"/>
        </w:rPr>
      </w:pPr>
      <w:r>
        <w:rPr>
          <w:lang w:val="fr"/>
        </w:rPr>
        <w:t xml:space="preserve"> La boîte à outils comprend les éléments suivants : </w:t>
      </w:r>
    </w:p>
    <w:tbl>
      <w:tblPr>
        <w:tblStyle w:val="TableGrid"/>
        <w:tblW w:w="0" w:type="auto"/>
        <w:tblLook w:val="04A0" w:firstRow="1" w:lastRow="0" w:firstColumn="1" w:lastColumn="0" w:noHBand="0" w:noVBand="1"/>
      </w:tblPr>
      <w:tblGrid>
        <w:gridCol w:w="4621"/>
        <w:gridCol w:w="4621"/>
      </w:tblGrid>
      <w:tr w:rsidR="00303380" w14:paraId="29E793E7" w14:textId="77777777" w:rsidTr="00303380">
        <w:tc>
          <w:tcPr>
            <w:tcW w:w="9242" w:type="dxa"/>
            <w:gridSpan w:val="2"/>
            <w:shd w:val="clear" w:color="auto" w:fill="FFFFBD"/>
          </w:tcPr>
          <w:p w14:paraId="629615CD" w14:textId="77777777" w:rsidR="00E56208" w:rsidRPr="00E31D94" w:rsidRDefault="00E56208" w:rsidP="00E56208">
            <w:pPr>
              <w:jc w:val="center"/>
              <w:rPr>
                <w:b/>
                <w:lang w:val="fr-FR"/>
              </w:rPr>
            </w:pPr>
          </w:p>
          <w:p w14:paraId="5385A380" w14:textId="205D5139" w:rsidR="00303380" w:rsidRDefault="00E31D94" w:rsidP="00E56208">
            <w:pPr>
              <w:jc w:val="center"/>
              <w:rPr>
                <w:b/>
              </w:rPr>
            </w:pPr>
            <w:r>
              <w:rPr>
                <w:b/>
                <w:lang w:val="fr"/>
              </w:rPr>
              <w:t xml:space="preserve">Annexe 0 – Ciblage et planification </w:t>
            </w:r>
          </w:p>
          <w:p w14:paraId="5B821EE1" w14:textId="32CF3DE1" w:rsidR="00E56208" w:rsidRPr="00E56208" w:rsidRDefault="00E56208" w:rsidP="00E56208">
            <w:pPr>
              <w:jc w:val="center"/>
              <w:rPr>
                <w:b/>
              </w:rPr>
            </w:pPr>
          </w:p>
        </w:tc>
      </w:tr>
      <w:tr w:rsidR="00303380" w:rsidRPr="00E31D94" w14:paraId="4917C236" w14:textId="77777777" w:rsidTr="00717598">
        <w:tc>
          <w:tcPr>
            <w:tcW w:w="4621" w:type="dxa"/>
            <w:shd w:val="clear" w:color="auto" w:fill="FFF2CC" w:themeFill="accent4" w:themeFillTint="33"/>
          </w:tcPr>
          <w:p w14:paraId="6846DE74" w14:textId="33A4F511" w:rsidR="00303380" w:rsidRPr="00E31D94" w:rsidRDefault="00E31D94" w:rsidP="00303380">
            <w:pPr>
              <w:rPr>
                <w:b/>
                <w:lang w:val="fr-FR"/>
              </w:rPr>
            </w:pPr>
            <w:r>
              <w:rPr>
                <w:b/>
                <w:lang w:val="fr"/>
              </w:rPr>
              <w:t xml:space="preserve">Annexe 1 </w:t>
            </w:r>
            <w:r w:rsidRPr="00717598">
              <w:rPr>
                <w:b/>
                <w:lang w:val="fr"/>
              </w:rPr>
              <w:t xml:space="preserve">Suivi et évaluation </w:t>
            </w:r>
            <w:r>
              <w:rPr>
                <w:b/>
                <w:lang w:val="fr"/>
              </w:rPr>
              <w:t xml:space="preserve">au niveau </w:t>
            </w:r>
            <w:r w:rsidRPr="00717598">
              <w:rPr>
                <w:b/>
                <w:lang w:val="fr"/>
              </w:rPr>
              <w:t>communautaire</w:t>
            </w:r>
          </w:p>
        </w:tc>
        <w:tc>
          <w:tcPr>
            <w:tcW w:w="4621" w:type="dxa"/>
            <w:shd w:val="clear" w:color="auto" w:fill="E2EFD9" w:themeFill="accent6" w:themeFillTint="33"/>
          </w:tcPr>
          <w:p w14:paraId="01D0FA1C" w14:textId="22284AFD" w:rsidR="00303380" w:rsidRPr="00E31D94" w:rsidRDefault="00E31D94" w:rsidP="00303380">
            <w:pPr>
              <w:rPr>
                <w:b/>
                <w:lang w:val="fr-FR"/>
              </w:rPr>
            </w:pPr>
            <w:r>
              <w:rPr>
                <w:b/>
                <w:lang w:val="fr"/>
              </w:rPr>
              <w:t xml:space="preserve">Annexe 2 </w:t>
            </w:r>
            <w:r w:rsidRPr="00717598">
              <w:rPr>
                <w:b/>
                <w:lang w:val="fr"/>
              </w:rPr>
              <w:t xml:space="preserve">Suivi et évaluation </w:t>
            </w:r>
            <w:r>
              <w:rPr>
                <w:b/>
                <w:lang w:val="fr"/>
              </w:rPr>
              <w:t xml:space="preserve">au niveau </w:t>
            </w:r>
            <w:r w:rsidRPr="00717598">
              <w:rPr>
                <w:b/>
                <w:lang w:val="fr"/>
              </w:rPr>
              <w:t xml:space="preserve">des </w:t>
            </w:r>
            <w:r>
              <w:rPr>
                <w:b/>
                <w:lang w:val="fr"/>
              </w:rPr>
              <w:t xml:space="preserve">centres </w:t>
            </w:r>
            <w:r w:rsidRPr="00717598">
              <w:rPr>
                <w:b/>
                <w:lang w:val="fr"/>
              </w:rPr>
              <w:t>de santé</w:t>
            </w:r>
          </w:p>
        </w:tc>
      </w:tr>
      <w:tr w:rsidR="00303380" w:rsidRPr="00E31D94" w14:paraId="5AC89E23" w14:textId="77777777" w:rsidTr="00717598">
        <w:tc>
          <w:tcPr>
            <w:tcW w:w="4621" w:type="dxa"/>
            <w:shd w:val="clear" w:color="auto" w:fill="FFF2CC" w:themeFill="accent4" w:themeFillTint="33"/>
          </w:tcPr>
          <w:p w14:paraId="3421C98E" w14:textId="5AA823BD" w:rsidR="00303380" w:rsidRPr="00E31D94" w:rsidRDefault="00E31D94" w:rsidP="00303380">
            <w:pPr>
              <w:rPr>
                <w:lang w:val="fr-FR"/>
              </w:rPr>
            </w:pPr>
            <w:r w:rsidRPr="00717598">
              <w:rPr>
                <w:lang w:val="fr"/>
              </w:rPr>
              <w:t>Annexe 1.1 Fiche</w:t>
            </w:r>
            <w:r>
              <w:rPr>
                <w:lang w:val="fr"/>
              </w:rPr>
              <w:t>/Registre pour</w:t>
            </w:r>
            <w:r w:rsidRPr="00717598">
              <w:rPr>
                <w:lang w:val="fr"/>
              </w:rPr>
              <w:t xml:space="preserve"> la formation initiale</w:t>
            </w:r>
          </w:p>
        </w:tc>
        <w:tc>
          <w:tcPr>
            <w:tcW w:w="4621" w:type="dxa"/>
            <w:shd w:val="clear" w:color="auto" w:fill="E2EFD9" w:themeFill="accent6" w:themeFillTint="33"/>
          </w:tcPr>
          <w:p w14:paraId="0F3E0EC0" w14:textId="632666A8" w:rsidR="00303380" w:rsidRPr="00E31D94" w:rsidRDefault="00E31D94" w:rsidP="00303380">
            <w:pPr>
              <w:rPr>
                <w:lang w:val="fr-FR"/>
              </w:rPr>
            </w:pPr>
            <w:r w:rsidRPr="00717598">
              <w:rPr>
                <w:lang w:val="fr"/>
              </w:rPr>
              <w:t xml:space="preserve">Annexe 2.1 </w:t>
            </w:r>
            <w:r>
              <w:rPr>
                <w:lang w:val="fr"/>
              </w:rPr>
              <w:t>Fiche/</w:t>
            </w:r>
            <w:r w:rsidRPr="00717598">
              <w:rPr>
                <w:lang w:val="fr"/>
              </w:rPr>
              <w:t xml:space="preserve">Registre hebdomadaire </w:t>
            </w:r>
            <w:r>
              <w:rPr>
                <w:lang w:val="fr"/>
              </w:rPr>
              <w:t>du centre de santé pour l’activité PB-Famille</w:t>
            </w:r>
          </w:p>
        </w:tc>
      </w:tr>
      <w:tr w:rsidR="00303380" w:rsidRPr="00E31D94" w14:paraId="211DB016" w14:textId="77777777" w:rsidTr="00717598">
        <w:tc>
          <w:tcPr>
            <w:tcW w:w="4621" w:type="dxa"/>
            <w:shd w:val="clear" w:color="auto" w:fill="FFF2CC" w:themeFill="accent4" w:themeFillTint="33"/>
          </w:tcPr>
          <w:p w14:paraId="5D677C01" w14:textId="7E1A975C" w:rsidR="00303380" w:rsidRPr="00E31D94" w:rsidRDefault="00E31D94" w:rsidP="00303380">
            <w:pPr>
              <w:tabs>
                <w:tab w:val="left" w:pos="3265"/>
              </w:tabs>
              <w:rPr>
                <w:lang w:val="fr-FR"/>
              </w:rPr>
            </w:pPr>
            <w:r w:rsidRPr="00717598">
              <w:rPr>
                <w:lang w:val="fr"/>
              </w:rPr>
              <w:t xml:space="preserve">Annexe 1.2 </w:t>
            </w:r>
            <w:r>
              <w:rPr>
                <w:lang w:val="fr"/>
              </w:rPr>
              <w:t>Rapport</w:t>
            </w:r>
            <w:r w:rsidRPr="00717598">
              <w:rPr>
                <w:lang w:val="fr"/>
              </w:rPr>
              <w:t xml:space="preserve"> </w:t>
            </w:r>
            <w:r>
              <w:rPr>
                <w:lang w:val="fr"/>
              </w:rPr>
              <w:t>de synthèse</w:t>
            </w:r>
            <w:r w:rsidRPr="00717598">
              <w:rPr>
                <w:lang w:val="fr"/>
              </w:rPr>
              <w:t xml:space="preserve"> de la formation initiale</w:t>
            </w:r>
          </w:p>
        </w:tc>
        <w:tc>
          <w:tcPr>
            <w:tcW w:w="4621" w:type="dxa"/>
            <w:vMerge w:val="restart"/>
            <w:shd w:val="clear" w:color="auto" w:fill="E2EFD9" w:themeFill="accent6" w:themeFillTint="33"/>
          </w:tcPr>
          <w:p w14:paraId="660D23A7" w14:textId="09786C20" w:rsidR="00303380" w:rsidRPr="00E31D94" w:rsidRDefault="00E31D94" w:rsidP="00303380">
            <w:pPr>
              <w:rPr>
                <w:lang w:val="fr-FR"/>
              </w:rPr>
            </w:pPr>
            <w:r w:rsidRPr="00717598">
              <w:rPr>
                <w:lang w:val="fr"/>
              </w:rPr>
              <w:t xml:space="preserve">Annexe 2.2 </w:t>
            </w:r>
            <w:r>
              <w:rPr>
                <w:lang w:val="fr"/>
              </w:rPr>
              <w:t>Fiche/Rapport mensuel de synthèse du centre de santé pour l’activité PB-Famille</w:t>
            </w:r>
          </w:p>
        </w:tc>
      </w:tr>
      <w:tr w:rsidR="00303380" w:rsidRPr="00E31D94" w14:paraId="4C0B83A5" w14:textId="77777777" w:rsidTr="00C15266">
        <w:tc>
          <w:tcPr>
            <w:tcW w:w="4621" w:type="dxa"/>
            <w:tcBorders>
              <w:bottom w:val="single" w:sz="4" w:space="0" w:color="auto"/>
            </w:tcBorders>
            <w:shd w:val="clear" w:color="auto" w:fill="FFF2CC" w:themeFill="accent4" w:themeFillTint="33"/>
          </w:tcPr>
          <w:p w14:paraId="0AF8FD7C" w14:textId="61E93604" w:rsidR="00303380" w:rsidRPr="00E31D94" w:rsidRDefault="00E31D94" w:rsidP="00303380">
            <w:pPr>
              <w:rPr>
                <w:lang w:val="fr-FR"/>
              </w:rPr>
            </w:pPr>
            <w:r w:rsidRPr="00717598">
              <w:rPr>
                <w:lang w:val="fr"/>
              </w:rPr>
              <w:t>Annexe 1.3 Fiche</w:t>
            </w:r>
            <w:r>
              <w:rPr>
                <w:lang w:val="fr"/>
              </w:rPr>
              <w:t>/Registre</w:t>
            </w:r>
            <w:r w:rsidRPr="00717598">
              <w:rPr>
                <w:lang w:val="fr"/>
              </w:rPr>
              <w:t xml:space="preserve"> de la formation</w:t>
            </w:r>
            <w:r>
              <w:rPr>
                <w:lang w:val="fr"/>
              </w:rPr>
              <w:t xml:space="preserve"> de r</w:t>
            </w:r>
            <w:r w:rsidR="00483533">
              <w:rPr>
                <w:lang w:val="fr"/>
              </w:rPr>
              <w:t>ecyclage</w:t>
            </w:r>
          </w:p>
        </w:tc>
        <w:tc>
          <w:tcPr>
            <w:tcW w:w="4621" w:type="dxa"/>
            <w:vMerge/>
            <w:tcBorders>
              <w:bottom w:val="single" w:sz="4" w:space="0" w:color="auto"/>
            </w:tcBorders>
            <w:shd w:val="clear" w:color="auto" w:fill="E2EFD9" w:themeFill="accent6" w:themeFillTint="33"/>
          </w:tcPr>
          <w:p w14:paraId="0D212816" w14:textId="77777777" w:rsidR="00303380" w:rsidRPr="00E31D94" w:rsidRDefault="00303380" w:rsidP="00303380">
            <w:pPr>
              <w:rPr>
                <w:lang w:val="fr-FR"/>
              </w:rPr>
            </w:pPr>
          </w:p>
        </w:tc>
      </w:tr>
      <w:tr w:rsidR="00303380" w:rsidRPr="00E31D94" w14:paraId="006669AC" w14:textId="77777777" w:rsidTr="00C15266">
        <w:tc>
          <w:tcPr>
            <w:tcW w:w="9242" w:type="dxa"/>
            <w:gridSpan w:val="2"/>
            <w:shd w:val="clear" w:color="auto" w:fill="CDE6FF"/>
          </w:tcPr>
          <w:p w14:paraId="145830CE" w14:textId="77777777" w:rsidR="00303380" w:rsidRPr="00E31D94" w:rsidRDefault="00303380" w:rsidP="00303380">
            <w:pPr>
              <w:jc w:val="center"/>
              <w:rPr>
                <w:b/>
                <w:bCs/>
                <w:lang w:val="fr-FR"/>
              </w:rPr>
            </w:pPr>
          </w:p>
          <w:p w14:paraId="11389711" w14:textId="3614B6DB" w:rsidR="00E31D94" w:rsidRPr="00E31D94" w:rsidRDefault="00E31D94" w:rsidP="00AA53DC">
            <w:pPr>
              <w:jc w:val="center"/>
              <w:rPr>
                <w:b/>
                <w:bCs/>
                <w:lang w:val="fr-FR"/>
              </w:rPr>
            </w:pPr>
            <w:r w:rsidRPr="00C15266">
              <w:rPr>
                <w:b/>
                <w:bCs/>
                <w:lang w:val="fr"/>
              </w:rPr>
              <w:lastRenderedPageBreak/>
              <w:t xml:space="preserve">Annexe 3 Base de données </w:t>
            </w:r>
            <w:r>
              <w:rPr>
                <w:b/>
                <w:bCs/>
                <w:lang w:val="fr"/>
              </w:rPr>
              <w:t>PB-</w:t>
            </w:r>
            <w:r w:rsidRPr="00C15266">
              <w:rPr>
                <w:b/>
                <w:bCs/>
                <w:lang w:val="fr"/>
              </w:rPr>
              <w:t>famille</w:t>
            </w:r>
          </w:p>
          <w:p w14:paraId="70C63EDC" w14:textId="1655083C" w:rsidR="00303380" w:rsidRPr="00E31D94" w:rsidRDefault="00303380" w:rsidP="00303380">
            <w:pPr>
              <w:jc w:val="center"/>
              <w:rPr>
                <w:b/>
                <w:bCs/>
                <w:lang w:val="fr-FR"/>
              </w:rPr>
            </w:pPr>
          </w:p>
        </w:tc>
      </w:tr>
    </w:tbl>
    <w:p w14:paraId="53D1E52D" w14:textId="77777777" w:rsidR="00717598" w:rsidRPr="00E31D94" w:rsidRDefault="00717598" w:rsidP="002A1C1C">
      <w:pPr>
        <w:rPr>
          <w:lang w:val="fr-FR"/>
        </w:rPr>
      </w:pPr>
    </w:p>
    <w:p w14:paraId="3D1D63BE" w14:textId="0F8024C6" w:rsidR="00BF7135" w:rsidRPr="00483533" w:rsidRDefault="00E31D94" w:rsidP="004032E0">
      <w:pPr>
        <w:jc w:val="both"/>
        <w:rPr>
          <w:lang w:val="fr-FR"/>
        </w:rPr>
      </w:pPr>
      <w:r>
        <w:rPr>
          <w:lang w:val="fr"/>
        </w:rPr>
        <w:t>L’annexe 0 aide à cartographier les services disponibles et le personnel du ministère de la Sante qui soutient les zones cibles, le nombre d’enfants attendus dans les zones de couverture des centres de sante cibles, nombre d’ASC qui ont besoin d’une formation cascade</w:t>
      </w:r>
      <w:r w:rsidR="00AC340F">
        <w:rPr>
          <w:lang w:val="fr"/>
        </w:rPr>
        <w:t>r</w:t>
      </w:r>
      <w:r>
        <w:rPr>
          <w:lang w:val="fr"/>
        </w:rPr>
        <w:t xml:space="preserve"> l’approche</w:t>
      </w:r>
      <w:r w:rsidR="00AC340F">
        <w:rPr>
          <w:lang w:val="fr"/>
        </w:rPr>
        <w:t xml:space="preserve"> aux mères/soignants</w:t>
      </w:r>
      <w:r>
        <w:rPr>
          <w:lang w:val="fr"/>
        </w:rPr>
        <w:t xml:space="preserve"> et la couverture prévue</w:t>
      </w:r>
      <w:r w:rsidR="00AC340F">
        <w:rPr>
          <w:lang w:val="fr"/>
        </w:rPr>
        <w:t xml:space="preserve"> par le projet</w:t>
      </w:r>
      <w:r>
        <w:rPr>
          <w:lang w:val="fr"/>
        </w:rPr>
        <w:t xml:space="preserve">. </w:t>
      </w:r>
      <w:r w:rsidR="00AC340F">
        <w:rPr>
          <w:lang w:val="fr"/>
        </w:rPr>
        <w:t>L’annexe 1 de la boîte à outils est utilisé au niveau communautaire pour renseigner l’indicateur d</w:t>
      </w:r>
      <w:r w:rsidR="00483533">
        <w:rPr>
          <w:lang w:val="fr"/>
        </w:rPr>
        <w:t>’impact</w:t>
      </w:r>
      <w:r w:rsidR="00AC340F">
        <w:rPr>
          <w:lang w:val="fr"/>
        </w:rPr>
        <w:t xml:space="preserve"> 1. L’annexe 1.1 est utilisée lors de la formation initiale des </w:t>
      </w:r>
      <w:r w:rsidR="00AC340F">
        <w:rPr>
          <w:lang w:val="fr"/>
        </w:rPr>
        <w:t xml:space="preserve">mères/soignants </w:t>
      </w:r>
      <w:r w:rsidR="00AC340F">
        <w:rPr>
          <w:lang w:val="fr"/>
        </w:rPr>
        <w:t>pour saisir le nombre de personnes formées et le nombre de personnes formées capables de mesurer correctement le PB</w:t>
      </w:r>
      <w:r w:rsidR="00483533">
        <w:rPr>
          <w:lang w:val="fr"/>
        </w:rPr>
        <w:t xml:space="preserve">. L’annexe 1.1 est ensuite résumée dans l’annexe 1.2 sur une base mensuelle. L’annexe 1.3 est utilisée lors de la formation de recyclage PB-Famille. </w:t>
      </w:r>
      <w:r w:rsidR="00483533" w:rsidRPr="00483533">
        <w:rPr>
          <w:lang w:val="fr"/>
        </w:rPr>
        <w:t xml:space="preserve"> L’annexe 2 est </w:t>
      </w:r>
      <w:r w:rsidR="00483533">
        <w:rPr>
          <w:lang w:val="fr"/>
        </w:rPr>
        <w:t>utilis</w:t>
      </w:r>
      <w:r w:rsidR="00483533" w:rsidRPr="00483533">
        <w:rPr>
          <w:lang w:val="fr"/>
        </w:rPr>
        <w:t>é au niveau d</w:t>
      </w:r>
      <w:r w:rsidR="00483533">
        <w:rPr>
          <w:lang w:val="fr"/>
        </w:rPr>
        <w:t>es centres de</w:t>
      </w:r>
      <w:r w:rsidR="00483533" w:rsidRPr="00483533">
        <w:rPr>
          <w:lang w:val="fr"/>
        </w:rPr>
        <w:t xml:space="preserve"> de santé pour r</w:t>
      </w:r>
      <w:r w:rsidR="00483533">
        <w:rPr>
          <w:lang w:val="fr"/>
        </w:rPr>
        <w:t>enseigner</w:t>
      </w:r>
      <w:r w:rsidR="00483533" w:rsidRPr="00483533">
        <w:rPr>
          <w:lang w:val="fr"/>
        </w:rPr>
        <w:t xml:space="preserve"> à l’indicateur d</w:t>
      </w:r>
      <w:r w:rsidR="00483533">
        <w:rPr>
          <w:lang w:val="fr"/>
        </w:rPr>
        <w:t>’impact</w:t>
      </w:r>
      <w:r w:rsidR="00483533" w:rsidRPr="00483533">
        <w:rPr>
          <w:lang w:val="fr"/>
        </w:rPr>
        <w:t xml:space="preserve"> 2.</w:t>
      </w:r>
      <w:r w:rsidR="00D07529" w:rsidRPr="00483533">
        <w:rPr>
          <w:lang w:val="fr"/>
        </w:rPr>
        <w:t xml:space="preserve"> </w:t>
      </w:r>
      <w:r w:rsidR="00483533">
        <w:rPr>
          <w:lang w:val="fr"/>
        </w:rPr>
        <w:t xml:space="preserve">L’annexe 2.1 est un registre qui doit être imprimé et laissé au niveau des centres de de santé des zones ayant bénéficiées de la formation PB-Famille. </w:t>
      </w:r>
      <w:r w:rsidR="00483533" w:rsidRPr="00483533">
        <w:rPr>
          <w:lang w:val="fr"/>
        </w:rPr>
        <w:t>L’annexe 2.2 est utilisée pour résumer</w:t>
      </w:r>
      <w:r w:rsidR="00483533">
        <w:rPr>
          <w:lang w:val="fr"/>
        </w:rPr>
        <w:t xml:space="preserve"> </w:t>
      </w:r>
      <w:r w:rsidR="00483533" w:rsidRPr="00483533">
        <w:rPr>
          <w:lang w:val="fr"/>
        </w:rPr>
        <w:t>sur une base mensuelle</w:t>
      </w:r>
      <w:r w:rsidR="00483533" w:rsidRPr="00483533">
        <w:rPr>
          <w:lang w:val="fr"/>
        </w:rPr>
        <w:t xml:space="preserve"> le</w:t>
      </w:r>
      <w:r w:rsidR="00483533">
        <w:rPr>
          <w:lang w:val="fr"/>
        </w:rPr>
        <w:t>s données du</w:t>
      </w:r>
      <w:r w:rsidR="00483533" w:rsidRPr="00483533">
        <w:rPr>
          <w:lang w:val="fr"/>
        </w:rPr>
        <w:t xml:space="preserve"> registre et doit être communiqué à GOAL. </w:t>
      </w:r>
      <w:r w:rsidR="00483533">
        <w:rPr>
          <w:lang w:val="fr"/>
        </w:rPr>
        <w:t xml:space="preserve">L’annexe 3 résume les annexes 1 et 2, afin de fournir les informations requises pour rendre compte des deux indicateurs d’impact du projet et des trois indicateurs de résultat du projet. </w:t>
      </w:r>
    </w:p>
    <w:p w14:paraId="021318E9" w14:textId="77777777" w:rsidR="009B1CAF" w:rsidRPr="00483533" w:rsidRDefault="009B1CAF" w:rsidP="00CD326F">
      <w:pPr>
        <w:pStyle w:val="Heading2"/>
        <w:jc w:val="center"/>
        <w:rPr>
          <w:rFonts w:asciiTheme="minorHAnsi" w:hAnsiTheme="minorHAnsi"/>
          <w:color w:val="ED7D31" w:themeColor="accent2"/>
          <w:sz w:val="22"/>
          <w:szCs w:val="22"/>
          <w:lang w:val="fr-FR"/>
        </w:rPr>
      </w:pPr>
    </w:p>
    <w:p w14:paraId="3A071E65" w14:textId="3BC75D56" w:rsidR="00FD0FD6" w:rsidRPr="00FD0FD6" w:rsidRDefault="00FD0FD6" w:rsidP="00EF25E2">
      <w:pPr>
        <w:pStyle w:val="Heading2"/>
        <w:jc w:val="center"/>
        <w:rPr>
          <w:rFonts w:asciiTheme="minorHAnsi" w:hAnsiTheme="minorHAnsi"/>
          <w:color w:val="ED7D31" w:themeColor="accent2"/>
          <w:sz w:val="22"/>
          <w:szCs w:val="22"/>
          <w:lang w:val="fr-FR"/>
        </w:rPr>
      </w:pPr>
      <w:r>
        <w:rPr>
          <w:color w:val="ED7D31" w:themeColor="accent2"/>
          <w:sz w:val="22"/>
          <w:szCs w:val="22"/>
          <w:lang w:val="fr"/>
        </w:rPr>
        <w:t>Collecte de données supplémentaires (facultatif mais conseillée)</w:t>
      </w:r>
    </w:p>
    <w:p w14:paraId="76F4D7CF" w14:textId="4FF92AE9" w:rsidR="00CD326F" w:rsidRPr="00FD0FD6" w:rsidRDefault="00FD0FD6" w:rsidP="00CD326F">
      <w:pPr>
        <w:pStyle w:val="Heading3"/>
        <w:rPr>
          <w:rFonts w:asciiTheme="minorHAnsi" w:hAnsiTheme="minorHAnsi"/>
          <w:color w:val="ED7D31" w:themeColor="accent2"/>
          <w:u w:val="single"/>
          <w:lang w:val="fr-FR"/>
        </w:rPr>
      </w:pPr>
      <w:r w:rsidRPr="00FD0FD6">
        <w:rPr>
          <w:rFonts w:asciiTheme="minorHAnsi" w:hAnsiTheme="minorHAnsi"/>
          <w:color w:val="ED7D31" w:themeColor="accent2"/>
          <w:u w:val="single"/>
          <w:lang w:val="fr-FR"/>
        </w:rPr>
        <w:t>Contexte</w:t>
      </w:r>
    </w:p>
    <w:p w14:paraId="12F76859" w14:textId="548834A8" w:rsidR="00FD0FD6" w:rsidRPr="00FD0FD6" w:rsidRDefault="00FD0FD6" w:rsidP="00CD326F">
      <w:pPr>
        <w:jc w:val="both"/>
        <w:rPr>
          <w:lang w:val="fr-FR"/>
        </w:rPr>
      </w:pPr>
      <w:r>
        <w:rPr>
          <w:lang w:val="fr"/>
        </w:rPr>
        <w:t xml:space="preserve">Si vous souhaitez recueillir des données plus détaillées sur l’initiative PB-Famille pour diverses raisons, notamment </w:t>
      </w:r>
      <w:r w:rsidRPr="00B006A9">
        <w:rPr>
          <w:b/>
          <w:bCs/>
          <w:lang w:val="fr"/>
        </w:rPr>
        <w:t>pour soutenir le plaidoyer en faveur de l</w:t>
      </w:r>
      <w:r>
        <w:rPr>
          <w:b/>
          <w:bCs/>
          <w:lang w:val="fr"/>
        </w:rPr>
        <w:t>a mise à l’échelle</w:t>
      </w:r>
      <w:r w:rsidRPr="00B006A9">
        <w:rPr>
          <w:b/>
          <w:bCs/>
          <w:lang w:val="fr"/>
        </w:rPr>
        <w:t xml:space="preserve"> de cette initiative dans votre pays</w:t>
      </w:r>
      <w:r>
        <w:rPr>
          <w:lang w:val="fr"/>
        </w:rPr>
        <w:t xml:space="preserve"> et de son inclusion potentielle dans les directives nationales ; en plus des informations de base recueillies dans la boîte à outils PB-Famille, il est utile que l’équipe de pays recueille les informations supplémentaires suivantes : </w:t>
      </w:r>
    </w:p>
    <w:tbl>
      <w:tblPr>
        <w:tblStyle w:val="TableGrid"/>
        <w:tblW w:w="0" w:type="auto"/>
        <w:tblLook w:val="04A0" w:firstRow="1" w:lastRow="0" w:firstColumn="1" w:lastColumn="0" w:noHBand="0" w:noVBand="1"/>
      </w:tblPr>
      <w:tblGrid>
        <w:gridCol w:w="9242"/>
      </w:tblGrid>
      <w:tr w:rsidR="000B3430" w:rsidRPr="00AC340F" w14:paraId="6A9C0C07" w14:textId="77777777" w:rsidTr="00DE1999">
        <w:tc>
          <w:tcPr>
            <w:tcW w:w="9242" w:type="dxa"/>
            <w:shd w:val="clear" w:color="auto" w:fill="D9D9D9" w:themeFill="background1" w:themeFillShade="D9"/>
          </w:tcPr>
          <w:p w14:paraId="7E913C06" w14:textId="046C47B3" w:rsidR="00FD0FD6" w:rsidRDefault="00FD0FD6" w:rsidP="002A3387">
            <w:r>
              <w:rPr>
                <w:lang w:val="fr"/>
              </w:rPr>
              <w:t>Indicateur d’impact :</w:t>
            </w:r>
          </w:p>
          <w:p w14:paraId="5A058A18" w14:textId="58024ABF" w:rsidR="00FD0FD6" w:rsidRPr="00FD0FD6" w:rsidRDefault="00FD0FD6" w:rsidP="00FD0FD6">
            <w:pPr>
              <w:pStyle w:val="ListParagraph"/>
              <w:numPr>
                <w:ilvl w:val="0"/>
                <w:numId w:val="5"/>
              </w:numPr>
              <w:contextualSpacing w:val="0"/>
              <w:jc w:val="both"/>
              <w:rPr>
                <w:rFonts w:eastAsia="Times New Roman"/>
                <w:lang w:val="fr-FR"/>
              </w:rPr>
            </w:pPr>
            <w:r w:rsidRPr="00FD0FD6">
              <w:rPr>
                <w:b/>
                <w:bCs/>
                <w:lang w:val="fr"/>
              </w:rPr>
              <w:t>Comparaison des taux d’admission</w:t>
            </w:r>
            <w:r w:rsidRPr="00FD0FD6">
              <w:rPr>
                <w:lang w:val="fr"/>
              </w:rPr>
              <w:t xml:space="preserve"> </w:t>
            </w:r>
            <w:r>
              <w:rPr>
                <w:lang w:val="fr"/>
              </w:rPr>
              <w:t>dans le</w:t>
            </w:r>
            <w:r w:rsidRPr="00FD0FD6">
              <w:rPr>
                <w:lang w:val="fr"/>
              </w:rPr>
              <w:t xml:space="preserve"> programme </w:t>
            </w:r>
            <w:r>
              <w:rPr>
                <w:lang w:val="fr"/>
              </w:rPr>
              <w:t>PCIMA</w:t>
            </w:r>
            <w:r w:rsidRPr="00FD0FD6">
              <w:rPr>
                <w:lang w:val="fr"/>
              </w:rPr>
              <w:t xml:space="preserve"> avant et après </w:t>
            </w:r>
            <w:r w:rsidRPr="00AC340F">
              <w:rPr>
                <w:lang w:val="fr"/>
              </w:rPr>
              <w:t>l</w:t>
            </w:r>
            <w:r>
              <w:rPr>
                <w:lang w:val="fr"/>
              </w:rPr>
              <w:t>a mise en œuvre de l’approche PB-Famille</w:t>
            </w:r>
            <w:r w:rsidRPr="00FD0FD6">
              <w:rPr>
                <w:lang w:val="fr"/>
              </w:rPr>
              <w:t xml:space="preserve">, par rapport à la même période l’année dernière </w:t>
            </w:r>
            <w:r w:rsidRPr="00FD0FD6">
              <w:rPr>
                <w:b/>
                <w:bCs/>
                <w:color w:val="ED7D31" w:themeColor="accent2"/>
                <w:lang w:val="fr"/>
              </w:rPr>
              <w:t>(annexe 4.1).</w:t>
            </w:r>
          </w:p>
          <w:p w14:paraId="33CAAA39" w14:textId="6E4DE591" w:rsidR="00AC340F" w:rsidRPr="00AC340F" w:rsidRDefault="00AC340F" w:rsidP="00AC340F">
            <w:pPr>
              <w:pStyle w:val="ListParagraph"/>
              <w:numPr>
                <w:ilvl w:val="0"/>
                <w:numId w:val="5"/>
              </w:numPr>
              <w:contextualSpacing w:val="0"/>
              <w:jc w:val="both"/>
              <w:rPr>
                <w:rFonts w:eastAsia="Times New Roman"/>
                <w:lang w:val="fr-FR"/>
              </w:rPr>
            </w:pPr>
            <w:r w:rsidRPr="00AC340F">
              <w:rPr>
                <w:b/>
                <w:bCs/>
                <w:lang w:val="fr"/>
              </w:rPr>
              <w:t>Comparaison de l’impact sur la performance du</w:t>
            </w:r>
            <w:r w:rsidRPr="00AC340F">
              <w:rPr>
                <w:lang w:val="fr"/>
              </w:rPr>
              <w:t xml:space="preserve"> programme</w:t>
            </w:r>
            <w:r>
              <w:rPr>
                <w:lang w:val="fr"/>
              </w:rPr>
              <w:t xml:space="preserve"> PCIMA</w:t>
            </w:r>
            <w:r w:rsidRPr="00AC340F">
              <w:rPr>
                <w:lang w:val="fr"/>
              </w:rPr>
              <w:t xml:space="preserve"> avant</w:t>
            </w:r>
            <w:r>
              <w:rPr>
                <w:lang w:val="fr"/>
              </w:rPr>
              <w:t xml:space="preserve"> et</w:t>
            </w:r>
            <w:r w:rsidRPr="00AC340F">
              <w:rPr>
                <w:lang w:val="fr"/>
              </w:rPr>
              <w:t xml:space="preserve"> après l</w:t>
            </w:r>
            <w:r>
              <w:rPr>
                <w:lang w:val="fr"/>
              </w:rPr>
              <w:t>a mise en œuvre de l’approche PB-Famille</w:t>
            </w:r>
            <w:r w:rsidRPr="00AC340F">
              <w:rPr>
                <w:lang w:val="fr"/>
              </w:rPr>
              <w:t xml:space="preserve">, c’est-à-dire recueillir des informations avant et après le déploiement de </w:t>
            </w:r>
            <w:r>
              <w:rPr>
                <w:lang w:val="fr"/>
              </w:rPr>
              <w:t>l’approche PB-Famille</w:t>
            </w:r>
            <w:r w:rsidRPr="00AC340F">
              <w:rPr>
                <w:lang w:val="fr"/>
              </w:rPr>
              <w:t xml:space="preserve"> sur les indicateurs de performance </w:t>
            </w:r>
            <w:r>
              <w:rPr>
                <w:lang w:val="fr"/>
              </w:rPr>
              <w:t xml:space="preserve">CRENAM </w:t>
            </w:r>
            <w:r w:rsidRPr="00AC340F">
              <w:rPr>
                <w:lang w:val="fr"/>
              </w:rPr>
              <w:t xml:space="preserve">et / ou </w:t>
            </w:r>
            <w:r>
              <w:rPr>
                <w:lang w:val="fr"/>
              </w:rPr>
              <w:t>CRENAS</w:t>
            </w:r>
            <w:r w:rsidRPr="00AC340F">
              <w:rPr>
                <w:lang w:val="fr"/>
              </w:rPr>
              <w:t xml:space="preserve">, y compris la durée du séjour, la prise de poids, les taux de guérison / décès / </w:t>
            </w:r>
            <w:r w:rsidR="00FD0FD6">
              <w:rPr>
                <w:lang w:val="fr"/>
              </w:rPr>
              <w:t>abandon</w:t>
            </w:r>
            <w:r w:rsidRPr="00AC340F">
              <w:rPr>
                <w:lang w:val="fr"/>
              </w:rPr>
              <w:t xml:space="preserve"> </w:t>
            </w:r>
            <w:r w:rsidRPr="00AC340F">
              <w:rPr>
                <w:b/>
                <w:bCs/>
                <w:color w:val="ED7D31" w:themeColor="accent2"/>
                <w:lang w:val="fr"/>
              </w:rPr>
              <w:t>(annexe 4.1)</w:t>
            </w:r>
            <w:r w:rsidR="00FD0FD6">
              <w:rPr>
                <w:b/>
                <w:bCs/>
                <w:color w:val="ED7D31" w:themeColor="accent2"/>
                <w:lang w:val="fr"/>
              </w:rPr>
              <w:t>.</w:t>
            </w:r>
          </w:p>
          <w:p w14:paraId="39651A3D" w14:textId="03EB2097" w:rsidR="00AC340F" w:rsidRPr="00AC340F" w:rsidRDefault="00AC340F" w:rsidP="00AC340F">
            <w:pPr>
              <w:pStyle w:val="ListParagraph"/>
              <w:numPr>
                <w:ilvl w:val="0"/>
                <w:numId w:val="5"/>
              </w:numPr>
              <w:contextualSpacing w:val="0"/>
              <w:jc w:val="both"/>
              <w:rPr>
                <w:rFonts w:eastAsia="Times New Roman"/>
                <w:lang w:val="fr-FR"/>
              </w:rPr>
            </w:pPr>
            <w:r w:rsidRPr="00AC340F">
              <w:rPr>
                <w:b/>
                <w:bCs/>
                <w:lang w:val="fr"/>
              </w:rPr>
              <w:t>Comparaison de la « couverture » entre le</w:t>
            </w:r>
            <w:r>
              <w:rPr>
                <w:b/>
                <w:bCs/>
                <w:lang w:val="fr"/>
              </w:rPr>
              <w:t xml:space="preserve"> dépistage traditionnel par les</w:t>
            </w:r>
            <w:r w:rsidRPr="00AC340F">
              <w:rPr>
                <w:b/>
                <w:bCs/>
                <w:lang w:val="fr"/>
              </w:rPr>
              <w:t xml:space="preserve"> </w:t>
            </w:r>
            <w:proofErr w:type="spellStart"/>
            <w:r w:rsidRPr="00AC340F">
              <w:rPr>
                <w:b/>
                <w:bCs/>
                <w:lang w:val="fr"/>
              </w:rPr>
              <w:t>ASC</w:t>
            </w:r>
            <w:r>
              <w:rPr>
                <w:b/>
                <w:bCs/>
                <w:lang w:val="fr"/>
              </w:rPr>
              <w:t>s</w:t>
            </w:r>
            <w:proofErr w:type="spellEnd"/>
            <w:r w:rsidRPr="00AC340F">
              <w:rPr>
                <w:b/>
                <w:bCs/>
                <w:lang w:val="fr"/>
              </w:rPr>
              <w:t xml:space="preserve"> et l’approche </w:t>
            </w:r>
            <w:r>
              <w:rPr>
                <w:b/>
                <w:bCs/>
                <w:lang w:val="fr"/>
              </w:rPr>
              <w:t>PB-Famille</w:t>
            </w:r>
            <w:r w:rsidRPr="00AC340F">
              <w:rPr>
                <w:lang w:val="fr"/>
              </w:rPr>
              <w:t xml:space="preserve">, c’est-à-dire le nombre de ménages que les ASC parviennent habituellement à dépister par rapport à ce que nous avons réalisé grâce à l’approche </w:t>
            </w:r>
            <w:r>
              <w:rPr>
                <w:lang w:val="fr"/>
              </w:rPr>
              <w:t>PB-Famille</w:t>
            </w:r>
            <w:r w:rsidRPr="00AC340F">
              <w:rPr>
                <w:lang w:val="fr"/>
              </w:rPr>
              <w:t xml:space="preserve"> au cours d’une période donnée </w:t>
            </w:r>
            <w:r w:rsidRPr="00AC340F">
              <w:rPr>
                <w:b/>
                <w:bCs/>
                <w:color w:val="ED7D31" w:themeColor="accent2"/>
                <w:lang w:val="fr"/>
              </w:rPr>
              <w:t>(annexe 4.2).</w:t>
            </w:r>
          </w:p>
          <w:p w14:paraId="160F78DA" w14:textId="6E53645E" w:rsidR="000B3430" w:rsidRPr="00AC340F" w:rsidRDefault="00AC340F" w:rsidP="000B3430">
            <w:pPr>
              <w:pStyle w:val="ListParagraph"/>
              <w:numPr>
                <w:ilvl w:val="0"/>
                <w:numId w:val="5"/>
              </w:numPr>
              <w:contextualSpacing w:val="0"/>
              <w:jc w:val="both"/>
              <w:rPr>
                <w:rFonts w:eastAsia="Times New Roman"/>
                <w:lang w:val="fr-FR"/>
              </w:rPr>
            </w:pPr>
            <w:r w:rsidRPr="00B006A9">
              <w:rPr>
                <w:b/>
                <w:bCs/>
                <w:lang w:val="fr"/>
              </w:rPr>
              <w:t>Comparaison des coûts</w:t>
            </w:r>
            <w:r>
              <w:rPr>
                <w:lang w:val="fr"/>
              </w:rPr>
              <w:t xml:space="preserve"> concernant le coût si les ASC étaient utilisés pour dépister les enfants par rapport à l’approche PB-Famille (en utilisant un niveau de couverture similaire) </w:t>
            </w:r>
            <w:r w:rsidRPr="003D75BF">
              <w:rPr>
                <w:b/>
                <w:bCs/>
                <w:color w:val="ED7D31" w:themeColor="accent2"/>
                <w:lang w:val="fr"/>
              </w:rPr>
              <w:t>(</w:t>
            </w:r>
            <w:proofErr w:type="gramStart"/>
            <w:r w:rsidRPr="003D75BF">
              <w:rPr>
                <w:b/>
                <w:bCs/>
                <w:color w:val="ED7D31" w:themeColor="accent2"/>
                <w:lang w:val="fr"/>
              </w:rPr>
              <w:t xml:space="preserve">annexe </w:t>
            </w:r>
            <w:r>
              <w:rPr>
                <w:lang w:val="fr"/>
              </w:rPr>
              <w:t xml:space="preserve"> </w:t>
            </w:r>
            <w:r>
              <w:rPr>
                <w:b/>
                <w:bCs/>
                <w:color w:val="ED7D31" w:themeColor="accent2"/>
                <w:lang w:val="fr"/>
              </w:rPr>
              <w:t>4.3</w:t>
            </w:r>
            <w:proofErr w:type="gramEnd"/>
            <w:r w:rsidRPr="003D75BF">
              <w:rPr>
                <w:b/>
                <w:bCs/>
                <w:color w:val="ED7D31" w:themeColor="accent2"/>
                <w:lang w:val="fr"/>
              </w:rPr>
              <w:t>).</w:t>
            </w:r>
          </w:p>
        </w:tc>
      </w:tr>
    </w:tbl>
    <w:p w14:paraId="075895C0" w14:textId="77777777" w:rsidR="00CD326F" w:rsidRPr="00AC340F" w:rsidRDefault="00CD326F" w:rsidP="00CD326F">
      <w:pPr>
        <w:jc w:val="both"/>
        <w:rPr>
          <w:lang w:val="fr-FR"/>
        </w:rPr>
      </w:pPr>
    </w:p>
    <w:p w14:paraId="405196FC" w14:textId="2975F17A" w:rsidR="00AC340F" w:rsidRPr="00AC340F" w:rsidRDefault="00AC340F" w:rsidP="001D5051">
      <w:pPr>
        <w:pStyle w:val="Heading3"/>
        <w:rPr>
          <w:rFonts w:asciiTheme="minorHAnsi" w:hAnsiTheme="minorHAnsi"/>
          <w:color w:val="ED7D31" w:themeColor="accent2"/>
          <w:u w:val="single"/>
          <w:lang w:val="fr-FR"/>
        </w:rPr>
      </w:pPr>
      <w:r>
        <w:rPr>
          <w:color w:val="ED7D31" w:themeColor="accent2"/>
          <w:u w:val="single"/>
          <w:lang w:val="fr"/>
        </w:rPr>
        <w:t>Boîte à outils supplémentaire de suivi et d’évaluation de l’approche PB-Famille</w:t>
      </w:r>
      <w:r w:rsidRPr="00717598">
        <w:rPr>
          <w:color w:val="ED7D31" w:themeColor="accent2"/>
          <w:u w:val="single"/>
          <w:lang w:val="fr"/>
        </w:rPr>
        <w:t xml:space="preserve"> </w:t>
      </w:r>
    </w:p>
    <w:p w14:paraId="6C489BD4" w14:textId="6769D50A" w:rsidR="00AC340F" w:rsidRPr="00AC340F" w:rsidRDefault="00CD326F" w:rsidP="00CD326F">
      <w:pPr>
        <w:rPr>
          <w:lang w:val="fr-FR"/>
        </w:rPr>
      </w:pPr>
      <w:r w:rsidRPr="00AC340F">
        <w:rPr>
          <w:lang w:val="fr-FR"/>
        </w:rPr>
        <w:t xml:space="preserve"> </w:t>
      </w:r>
      <w:r w:rsidR="00AC340F">
        <w:rPr>
          <w:lang w:val="fr"/>
        </w:rPr>
        <w:t xml:space="preserve">Les outils supplémentaires sont les suivants : </w:t>
      </w:r>
    </w:p>
    <w:tbl>
      <w:tblPr>
        <w:tblStyle w:val="TableGrid"/>
        <w:tblW w:w="0" w:type="auto"/>
        <w:tblLook w:val="04A0" w:firstRow="1" w:lastRow="0" w:firstColumn="1" w:lastColumn="0" w:noHBand="0" w:noVBand="1"/>
      </w:tblPr>
      <w:tblGrid>
        <w:gridCol w:w="4915"/>
        <w:gridCol w:w="4841"/>
      </w:tblGrid>
      <w:tr w:rsidR="006F5CB0" w:rsidRPr="00AC340F" w14:paraId="1BB58625" w14:textId="3C47FFDF" w:rsidTr="006F5CB0">
        <w:tc>
          <w:tcPr>
            <w:tcW w:w="4915" w:type="dxa"/>
            <w:shd w:val="clear" w:color="auto" w:fill="FFF2CC" w:themeFill="accent4" w:themeFillTint="33"/>
          </w:tcPr>
          <w:p w14:paraId="650569B7" w14:textId="32780E14" w:rsidR="006F5CB0" w:rsidRPr="00AC340F" w:rsidRDefault="00AC340F" w:rsidP="00DE1999">
            <w:pPr>
              <w:rPr>
                <w:b/>
                <w:lang w:val="fr"/>
              </w:rPr>
            </w:pPr>
            <w:r>
              <w:rPr>
                <w:b/>
                <w:lang w:val="fr"/>
              </w:rPr>
              <w:t>Annexe 4 Performance et couverture du PCIMA</w:t>
            </w:r>
          </w:p>
        </w:tc>
        <w:tc>
          <w:tcPr>
            <w:tcW w:w="4841" w:type="dxa"/>
            <w:vMerge w:val="restart"/>
            <w:shd w:val="clear" w:color="auto" w:fill="F7D5F5"/>
          </w:tcPr>
          <w:p w14:paraId="39B918AE" w14:textId="4070A0B2" w:rsidR="00AC340F" w:rsidRPr="00AC340F" w:rsidRDefault="00AC340F" w:rsidP="00445C6F">
            <w:pPr>
              <w:rPr>
                <w:b/>
                <w:lang w:val="fr-FR"/>
              </w:rPr>
            </w:pPr>
            <w:r>
              <w:rPr>
                <w:b/>
                <w:lang w:val="fr"/>
              </w:rPr>
              <w:t>Base de données PB-Famille</w:t>
            </w:r>
          </w:p>
          <w:p w14:paraId="312FE06F" w14:textId="7ED18BB7" w:rsidR="00FC160D" w:rsidRPr="00AC340F" w:rsidRDefault="00AC340F" w:rsidP="00DE1999">
            <w:pPr>
              <w:rPr>
                <w:bCs/>
                <w:lang w:val="fr-FR"/>
              </w:rPr>
            </w:pPr>
            <w:r>
              <w:rPr>
                <w:bCs/>
                <w:lang w:val="fr"/>
              </w:rPr>
              <w:t xml:space="preserve">Cela combine les données rassemblées à partir des annexes 3 et 4 pour fournir un résumé des </w:t>
            </w:r>
            <w:r>
              <w:rPr>
                <w:bCs/>
                <w:lang w:val="fr"/>
              </w:rPr>
              <w:lastRenderedPageBreak/>
              <w:t>indicateurs de base et des indicateurs supplémentaires.</w:t>
            </w:r>
          </w:p>
        </w:tc>
      </w:tr>
      <w:tr w:rsidR="006F5CB0" w:rsidRPr="00AC340F" w14:paraId="6A276F1D" w14:textId="436A0EC9" w:rsidTr="006F5CB0">
        <w:tc>
          <w:tcPr>
            <w:tcW w:w="4915" w:type="dxa"/>
            <w:shd w:val="clear" w:color="auto" w:fill="FFF2CC" w:themeFill="accent4" w:themeFillTint="33"/>
          </w:tcPr>
          <w:p w14:paraId="1DE80C2A" w14:textId="5D839160" w:rsidR="006F5CB0" w:rsidRPr="00AC340F" w:rsidRDefault="00AC340F" w:rsidP="00DE1999">
            <w:pPr>
              <w:rPr>
                <w:lang w:val="fr-FR"/>
              </w:rPr>
            </w:pPr>
            <w:r>
              <w:rPr>
                <w:lang w:val="fr"/>
              </w:rPr>
              <w:t>Annexe 4.1 Comparaison des performances PCIMA</w:t>
            </w:r>
          </w:p>
        </w:tc>
        <w:tc>
          <w:tcPr>
            <w:tcW w:w="4841" w:type="dxa"/>
            <w:vMerge/>
            <w:shd w:val="clear" w:color="auto" w:fill="F7D5F5"/>
          </w:tcPr>
          <w:p w14:paraId="56C60438" w14:textId="77777777" w:rsidR="006F5CB0" w:rsidRPr="00AC340F" w:rsidRDefault="006F5CB0" w:rsidP="00DE1999">
            <w:pPr>
              <w:rPr>
                <w:lang w:val="fr-FR"/>
              </w:rPr>
            </w:pPr>
          </w:p>
        </w:tc>
      </w:tr>
      <w:tr w:rsidR="006F5CB0" w:rsidRPr="00AC340F" w14:paraId="45CC18BE" w14:textId="7EA6E91A" w:rsidTr="006F5CB0">
        <w:tc>
          <w:tcPr>
            <w:tcW w:w="4915" w:type="dxa"/>
            <w:shd w:val="clear" w:color="auto" w:fill="FFF2CC" w:themeFill="accent4" w:themeFillTint="33"/>
          </w:tcPr>
          <w:p w14:paraId="05DE8CCC" w14:textId="03B11CAA" w:rsidR="006F5CB0" w:rsidRPr="00AC340F" w:rsidRDefault="006F5CB0" w:rsidP="00DE1999">
            <w:pPr>
              <w:tabs>
                <w:tab w:val="left" w:pos="3265"/>
              </w:tabs>
              <w:rPr>
                <w:lang w:val="fr-FR"/>
              </w:rPr>
            </w:pPr>
            <w:r w:rsidRPr="00AC340F">
              <w:rPr>
                <w:lang w:val="fr-FR"/>
              </w:rPr>
              <w:t>Annex</w:t>
            </w:r>
            <w:r w:rsidR="00AC340F" w:rsidRPr="00AC340F">
              <w:rPr>
                <w:lang w:val="fr-FR"/>
              </w:rPr>
              <w:t>e</w:t>
            </w:r>
            <w:r w:rsidRPr="00AC340F">
              <w:rPr>
                <w:lang w:val="fr-FR"/>
              </w:rPr>
              <w:t xml:space="preserve"> 4.2 </w:t>
            </w:r>
            <w:r w:rsidR="00AC340F" w:rsidRPr="00AC340F">
              <w:rPr>
                <w:lang w:val="fr-FR"/>
              </w:rPr>
              <w:t>Comparaison de la couv</w:t>
            </w:r>
            <w:r w:rsidR="00AC340F">
              <w:rPr>
                <w:lang w:val="fr-FR"/>
              </w:rPr>
              <w:t xml:space="preserve">erture des </w:t>
            </w:r>
            <w:r w:rsidR="00AC340F">
              <w:rPr>
                <w:lang w:val="fr-FR"/>
              </w:rPr>
              <w:lastRenderedPageBreak/>
              <w:t>approches PB-Famille VS dépistage standard par les ASC</w:t>
            </w:r>
          </w:p>
        </w:tc>
        <w:tc>
          <w:tcPr>
            <w:tcW w:w="4841" w:type="dxa"/>
            <w:vMerge/>
            <w:shd w:val="clear" w:color="auto" w:fill="F7D5F5"/>
          </w:tcPr>
          <w:p w14:paraId="64497DE8" w14:textId="77777777" w:rsidR="006F5CB0" w:rsidRPr="00AC340F" w:rsidRDefault="006F5CB0" w:rsidP="00DE1999">
            <w:pPr>
              <w:tabs>
                <w:tab w:val="left" w:pos="3265"/>
              </w:tabs>
              <w:rPr>
                <w:lang w:val="fr-FR"/>
              </w:rPr>
            </w:pPr>
          </w:p>
        </w:tc>
      </w:tr>
      <w:tr w:rsidR="006F5CB0" w:rsidRPr="00AC340F" w14:paraId="005BDA8E" w14:textId="0C59C844" w:rsidTr="006F5CB0">
        <w:tc>
          <w:tcPr>
            <w:tcW w:w="4915" w:type="dxa"/>
            <w:shd w:val="clear" w:color="auto" w:fill="FFF2CC" w:themeFill="accent4" w:themeFillTint="33"/>
          </w:tcPr>
          <w:p w14:paraId="41DE186D" w14:textId="4A86804F" w:rsidR="006F5CB0" w:rsidRPr="00AC340F" w:rsidRDefault="00AC340F" w:rsidP="00DE1999">
            <w:pPr>
              <w:tabs>
                <w:tab w:val="left" w:pos="3265"/>
              </w:tabs>
              <w:rPr>
                <w:lang w:val="fr-FR"/>
              </w:rPr>
            </w:pPr>
            <w:r>
              <w:rPr>
                <w:lang w:val="fr"/>
              </w:rPr>
              <w:t xml:space="preserve">Annexe 4.3 Comparaison des coûts </w:t>
            </w:r>
            <w:r>
              <w:rPr>
                <w:lang w:val="fr-FR"/>
              </w:rPr>
              <w:t>des approches PB-Famille VS dépistage standard par les ASC</w:t>
            </w:r>
          </w:p>
        </w:tc>
        <w:tc>
          <w:tcPr>
            <w:tcW w:w="4841" w:type="dxa"/>
            <w:vMerge/>
            <w:shd w:val="clear" w:color="auto" w:fill="F7D5F5"/>
          </w:tcPr>
          <w:p w14:paraId="6B6495B1" w14:textId="77777777" w:rsidR="006F5CB0" w:rsidRPr="00AC340F" w:rsidRDefault="006F5CB0" w:rsidP="00DE1999">
            <w:pPr>
              <w:tabs>
                <w:tab w:val="left" w:pos="3265"/>
              </w:tabs>
              <w:rPr>
                <w:lang w:val="fr-FR"/>
              </w:rPr>
            </w:pPr>
          </w:p>
        </w:tc>
      </w:tr>
    </w:tbl>
    <w:p w14:paraId="5EDC1B9A" w14:textId="77777777" w:rsidR="00CD326F" w:rsidRPr="00AC340F" w:rsidRDefault="00CD326F" w:rsidP="00CD326F">
      <w:pPr>
        <w:rPr>
          <w:lang w:val="fr-FR"/>
        </w:rPr>
      </w:pPr>
    </w:p>
    <w:p w14:paraId="0F300DC1" w14:textId="7CC406C1" w:rsidR="00AC340F" w:rsidRPr="00AC340F" w:rsidRDefault="00AC340F" w:rsidP="00F95426">
      <w:pPr>
        <w:jc w:val="both"/>
        <w:rPr>
          <w:lang w:val="fr-FR"/>
        </w:rPr>
      </w:pPr>
      <w:r>
        <w:rPr>
          <w:lang w:val="fr"/>
        </w:rPr>
        <w:t>L’annexe 4 sera remplie à l’aide des rapports mensuels PCIMA et l’analyse des coûts sera effectuée à l’aide de données extraites des rapports financiers du projet.</w:t>
      </w:r>
    </w:p>
    <w:p w14:paraId="4AD4FBC2" w14:textId="77777777" w:rsidR="00CD326F" w:rsidRPr="00AC340F" w:rsidRDefault="00CD326F" w:rsidP="004032E0">
      <w:pPr>
        <w:jc w:val="both"/>
        <w:rPr>
          <w:lang w:val="fr-FR"/>
        </w:rPr>
      </w:pPr>
    </w:p>
    <w:p w14:paraId="7DFE614F" w14:textId="727887AD" w:rsidR="002016C8" w:rsidRPr="00AC340F" w:rsidRDefault="00AC340F" w:rsidP="002016C8">
      <w:pPr>
        <w:pStyle w:val="Heading3"/>
        <w:rPr>
          <w:rFonts w:asciiTheme="minorHAnsi" w:hAnsiTheme="minorHAnsi"/>
          <w:color w:val="ED7D31" w:themeColor="accent2"/>
          <w:u w:val="single"/>
          <w:lang w:val="fr-FR"/>
        </w:rPr>
      </w:pPr>
      <w:r w:rsidRPr="00AC340F">
        <w:rPr>
          <w:color w:val="ED7D31" w:themeColor="accent2"/>
          <w:u w:val="single"/>
          <w:lang w:val="fr"/>
        </w:rPr>
        <w:t>Soutien technique</w:t>
      </w:r>
    </w:p>
    <w:p w14:paraId="22E80AC3" w14:textId="45B2D7CC" w:rsidR="002016C8" w:rsidRPr="00AC340F" w:rsidRDefault="00AC340F" w:rsidP="002016C8">
      <w:pPr>
        <w:rPr>
          <w:lang w:val="fr-FR"/>
        </w:rPr>
      </w:pPr>
      <w:r>
        <w:rPr>
          <w:lang w:val="fr"/>
        </w:rPr>
        <w:t xml:space="preserve">Pour une assistance technique supplémentaire, contactez </w:t>
      </w:r>
      <w:hyperlink r:id="rId13" w:history="1">
        <w:r w:rsidR="002016C8" w:rsidRPr="00AC340F">
          <w:rPr>
            <w:rStyle w:val="Hyperlink"/>
            <w:lang w:val="fr-FR"/>
          </w:rPr>
          <w:t>hbarthorp@goal.ie</w:t>
        </w:r>
      </w:hyperlink>
      <w:r w:rsidR="002016C8" w:rsidRPr="00AC340F">
        <w:rPr>
          <w:lang w:val="fr-FR"/>
        </w:rPr>
        <w:t xml:space="preserve">. </w:t>
      </w:r>
    </w:p>
    <w:sectPr w:rsidR="002016C8" w:rsidRPr="00AC340F" w:rsidSect="00EB2824">
      <w:headerReference w:type="default" r:id="rId14"/>
      <w:footerReference w:type="default" r:id="rId15"/>
      <w:pgSz w:w="11906" w:h="16838"/>
      <w:pgMar w:top="1440" w:right="926" w:bottom="1080" w:left="1440" w:header="708" w:footer="3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5559" w14:textId="77777777" w:rsidR="00ED313D" w:rsidRDefault="00ED313D" w:rsidP="00D85A30">
      <w:pPr>
        <w:spacing w:after="0" w:line="240" w:lineRule="auto"/>
      </w:pPr>
      <w:r>
        <w:separator/>
      </w:r>
    </w:p>
  </w:endnote>
  <w:endnote w:type="continuationSeparator" w:id="0">
    <w:p w14:paraId="347C313A" w14:textId="77777777" w:rsidR="00ED313D" w:rsidRDefault="00ED313D" w:rsidP="00D85A30">
      <w:pPr>
        <w:spacing w:after="0" w:line="240" w:lineRule="auto"/>
      </w:pPr>
      <w:r>
        <w:continuationSeparator/>
      </w:r>
    </w:p>
  </w:endnote>
  <w:endnote w:type="continuationNotice" w:id="1">
    <w:p w14:paraId="0D458460" w14:textId="77777777" w:rsidR="00811106" w:rsidRDefault="008111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0662704"/>
      <w:docPartObj>
        <w:docPartGallery w:val="Page Numbers (Bottom of Page)"/>
        <w:docPartUnique/>
      </w:docPartObj>
    </w:sdtPr>
    <w:sdtEndPr>
      <w:rPr>
        <w:noProof/>
      </w:rPr>
    </w:sdtEndPr>
    <w:sdtContent>
      <w:p w14:paraId="640326A5" w14:textId="41940B86" w:rsidR="00EB2824" w:rsidRDefault="00EB282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407F96" w14:textId="77777777" w:rsidR="00EB2824" w:rsidRDefault="00EB2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5F9A" w14:textId="77777777" w:rsidR="00ED313D" w:rsidRDefault="00ED313D" w:rsidP="00D85A30">
      <w:pPr>
        <w:spacing w:after="0" w:line="240" w:lineRule="auto"/>
      </w:pPr>
      <w:r>
        <w:separator/>
      </w:r>
    </w:p>
  </w:footnote>
  <w:footnote w:type="continuationSeparator" w:id="0">
    <w:p w14:paraId="645833B7" w14:textId="77777777" w:rsidR="00ED313D" w:rsidRDefault="00ED313D" w:rsidP="00D85A30">
      <w:pPr>
        <w:spacing w:after="0" w:line="240" w:lineRule="auto"/>
      </w:pPr>
      <w:r>
        <w:continuationSeparator/>
      </w:r>
    </w:p>
  </w:footnote>
  <w:footnote w:type="continuationNotice" w:id="1">
    <w:p w14:paraId="3DD661B3" w14:textId="77777777" w:rsidR="00811106" w:rsidRDefault="00811106">
      <w:pPr>
        <w:spacing w:after="0" w:line="240" w:lineRule="auto"/>
      </w:pPr>
    </w:p>
  </w:footnote>
  <w:footnote w:id="2">
    <w:p w14:paraId="0290BB13" w14:textId="77777777" w:rsidR="00FA7AA3" w:rsidRDefault="00FA7AA3" w:rsidP="00187A1F">
      <w:pPr>
        <w:pStyle w:val="FootnoteText"/>
      </w:pPr>
      <w:r>
        <w:rPr>
          <w:rStyle w:val="FootnoteReference"/>
          <w:lang w:val="fr"/>
        </w:rPr>
        <w:footnoteRef/>
      </w:r>
      <w:r w:rsidRPr="00187A1F">
        <w:rPr>
          <w:lang w:val="fr"/>
        </w:rPr>
        <w:t xml:space="preserve">Ale et al. Le dépistage de la malnutrition par circonférence du bras moyen des mères n’est pas inférieur à celui des agents de santé communautaires : résultats d’un essai pragmatique à grande échelle dans les zones rurales du Niger (2016). </w:t>
      </w:r>
      <w:proofErr w:type="gramStart"/>
      <w:r w:rsidRPr="00187A1F">
        <w:rPr>
          <w:lang w:val="fr"/>
        </w:rPr>
        <w:t>4:</w:t>
      </w:r>
      <w:proofErr w:type="gramEnd"/>
      <w:r w:rsidRPr="00187A1F">
        <w:rPr>
          <w:lang w:val="fr"/>
        </w:rPr>
        <w:t>38.</w:t>
      </w:r>
      <w:r>
        <w:rPr>
          <w:sz w:val="16"/>
          <w:szCs w:val="16"/>
          <w:lang w:val="fr"/>
        </w:rPr>
        <w:t>;</w:t>
      </w:r>
      <w:r>
        <w:rPr>
          <w:lang w:val="fr"/>
        </w:rPr>
        <w:t xml:space="preserve"> Archives de la santé publique.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3C446" w14:textId="77777777" w:rsidR="00D85A30" w:rsidRDefault="00D85A30">
    <w:pPr>
      <w:pStyle w:val="Header"/>
    </w:pPr>
    <w:r w:rsidRPr="007F0379">
      <w:rPr>
        <w:noProof/>
        <w:lang w:eastAsia="en-GB"/>
      </w:rPr>
      <w:drawing>
        <wp:anchor distT="0" distB="0" distL="114300" distR="114300" simplePos="0" relativeHeight="251659264" behindDoc="0" locked="0" layoutInCell="1" allowOverlap="1" wp14:anchorId="2115D53F" wp14:editId="5DA291CD">
          <wp:simplePos x="0" y="0"/>
          <wp:positionH relativeFrom="column">
            <wp:posOffset>-519430</wp:posOffset>
          </wp:positionH>
          <wp:positionV relativeFrom="paragraph">
            <wp:posOffset>-240192</wp:posOffset>
          </wp:positionV>
          <wp:extent cx="1565584" cy="601345"/>
          <wp:effectExtent l="0" t="0" r="0" b="825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584" cy="601345"/>
                  </a:xfrm>
                  <a:prstGeom prst="rect">
                    <a:avLst/>
                  </a:prstGeom>
                </pic:spPr>
              </pic:pic>
            </a:graphicData>
          </a:graphic>
          <wp14:sizeRelH relativeFrom="margin">
            <wp14:pctWidth>0</wp14:pctWidth>
          </wp14:sizeRelH>
          <wp14:sizeRelV relativeFrom="margin">
            <wp14:pctHeight>0</wp14:pctHeight>
          </wp14:sizeRelV>
        </wp:anchor>
      </w:drawing>
    </w:r>
    <w:r w:rsidRPr="007F0379">
      <w:rPr>
        <w:noProof/>
        <w:lang w:eastAsia="en-GB"/>
      </w:rPr>
      <mc:AlternateContent>
        <mc:Choice Requires="wps">
          <w:drawing>
            <wp:anchor distT="0" distB="0" distL="114300" distR="114300" simplePos="0" relativeHeight="251656192" behindDoc="0" locked="0" layoutInCell="1" allowOverlap="1" wp14:anchorId="29F095BF" wp14:editId="0DAD8014">
              <wp:simplePos x="0" y="0"/>
              <wp:positionH relativeFrom="column">
                <wp:posOffset>-1085850</wp:posOffset>
              </wp:positionH>
              <wp:positionV relativeFrom="paragraph">
                <wp:posOffset>-504057</wp:posOffset>
              </wp:positionV>
              <wp:extent cx="9143999" cy="878088"/>
              <wp:effectExtent l="0" t="0" r="635" b="0"/>
              <wp:wrapNone/>
              <wp:docPr id="27" name="Rectangle 5"/>
              <wp:cNvGraphicFramePr/>
              <a:graphic xmlns:a="http://schemas.openxmlformats.org/drawingml/2006/main">
                <a:graphicData uri="http://schemas.microsoft.com/office/word/2010/wordprocessingShape">
                  <wps:wsp>
                    <wps:cNvSpPr/>
                    <wps:spPr>
                      <a:xfrm>
                        <a:off x="0" y="0"/>
                        <a:ext cx="9143999" cy="878088"/>
                      </a:xfrm>
                      <a:prstGeom prst="rect">
                        <a:avLst/>
                      </a:prstGeom>
                      <a:solidFill>
                        <a:srgbClr val="A6CE38"/>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A642762" id="Rectangle 5" o:spid="_x0000_s1026" style="position:absolute;margin-left:-85.5pt;margin-top:-39.7pt;width:10in;height:69.1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" fillcolor="#a6ce3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4E00"/>
    <w:multiLevelType w:val="multilevel"/>
    <w:tmpl w:val="1E2A9A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1B5148"/>
    <w:multiLevelType w:val="hybridMultilevel"/>
    <w:tmpl w:val="1FCC4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2D8A"/>
    <w:multiLevelType w:val="hybridMultilevel"/>
    <w:tmpl w:val="FF40D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90AFE"/>
    <w:multiLevelType w:val="hybridMultilevel"/>
    <w:tmpl w:val="FF40D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C2A32"/>
    <w:multiLevelType w:val="multilevel"/>
    <w:tmpl w:val="D960D8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1910B5D"/>
    <w:multiLevelType w:val="multilevel"/>
    <w:tmpl w:val="6526B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04D613B"/>
    <w:multiLevelType w:val="hybridMultilevel"/>
    <w:tmpl w:val="C34A686A"/>
    <w:lvl w:ilvl="0" w:tplc="45B0DE5A">
      <w:start w:val="1"/>
      <w:numFmt w:val="decimal"/>
      <w:lvlText w:val="%1."/>
      <w:lvlJc w:val="left"/>
      <w:pPr>
        <w:tabs>
          <w:tab w:val="num" w:pos="720"/>
        </w:tabs>
        <w:ind w:left="720" w:hanging="360"/>
      </w:pPr>
    </w:lvl>
    <w:lvl w:ilvl="1" w:tplc="A0FEB838" w:tentative="1">
      <w:start w:val="1"/>
      <w:numFmt w:val="decimal"/>
      <w:lvlText w:val="%2."/>
      <w:lvlJc w:val="left"/>
      <w:pPr>
        <w:tabs>
          <w:tab w:val="num" w:pos="1440"/>
        </w:tabs>
        <w:ind w:left="1440" w:hanging="360"/>
      </w:pPr>
    </w:lvl>
    <w:lvl w:ilvl="2" w:tplc="C6C6180E" w:tentative="1">
      <w:start w:val="1"/>
      <w:numFmt w:val="decimal"/>
      <w:lvlText w:val="%3."/>
      <w:lvlJc w:val="left"/>
      <w:pPr>
        <w:tabs>
          <w:tab w:val="num" w:pos="2160"/>
        </w:tabs>
        <w:ind w:left="2160" w:hanging="360"/>
      </w:pPr>
    </w:lvl>
    <w:lvl w:ilvl="3" w:tplc="51EC25B8" w:tentative="1">
      <w:start w:val="1"/>
      <w:numFmt w:val="decimal"/>
      <w:lvlText w:val="%4."/>
      <w:lvlJc w:val="left"/>
      <w:pPr>
        <w:tabs>
          <w:tab w:val="num" w:pos="2880"/>
        </w:tabs>
        <w:ind w:left="2880" w:hanging="360"/>
      </w:pPr>
    </w:lvl>
    <w:lvl w:ilvl="4" w:tplc="897E0EB4" w:tentative="1">
      <w:start w:val="1"/>
      <w:numFmt w:val="decimal"/>
      <w:lvlText w:val="%5."/>
      <w:lvlJc w:val="left"/>
      <w:pPr>
        <w:tabs>
          <w:tab w:val="num" w:pos="3600"/>
        </w:tabs>
        <w:ind w:left="3600" w:hanging="360"/>
      </w:pPr>
    </w:lvl>
    <w:lvl w:ilvl="5" w:tplc="5B2C14DC" w:tentative="1">
      <w:start w:val="1"/>
      <w:numFmt w:val="decimal"/>
      <w:lvlText w:val="%6."/>
      <w:lvlJc w:val="left"/>
      <w:pPr>
        <w:tabs>
          <w:tab w:val="num" w:pos="4320"/>
        </w:tabs>
        <w:ind w:left="4320" w:hanging="360"/>
      </w:pPr>
    </w:lvl>
    <w:lvl w:ilvl="6" w:tplc="8C9483C0" w:tentative="1">
      <w:start w:val="1"/>
      <w:numFmt w:val="decimal"/>
      <w:lvlText w:val="%7."/>
      <w:lvlJc w:val="left"/>
      <w:pPr>
        <w:tabs>
          <w:tab w:val="num" w:pos="5040"/>
        </w:tabs>
        <w:ind w:left="5040" w:hanging="360"/>
      </w:pPr>
    </w:lvl>
    <w:lvl w:ilvl="7" w:tplc="D06C6C96" w:tentative="1">
      <w:start w:val="1"/>
      <w:numFmt w:val="decimal"/>
      <w:lvlText w:val="%8."/>
      <w:lvlJc w:val="left"/>
      <w:pPr>
        <w:tabs>
          <w:tab w:val="num" w:pos="5760"/>
        </w:tabs>
        <w:ind w:left="5760" w:hanging="360"/>
      </w:pPr>
    </w:lvl>
    <w:lvl w:ilvl="8" w:tplc="11E4AF04" w:tentative="1">
      <w:start w:val="1"/>
      <w:numFmt w:val="decimal"/>
      <w:lvlText w:val="%9."/>
      <w:lvlJc w:val="left"/>
      <w:pPr>
        <w:tabs>
          <w:tab w:val="num" w:pos="6480"/>
        </w:tabs>
        <w:ind w:left="6480" w:hanging="360"/>
      </w:pPr>
    </w:lvl>
  </w:abstractNum>
  <w:abstractNum w:abstractNumId="7" w15:restartNumberingAfterBreak="0">
    <w:nsid w:val="542E1D88"/>
    <w:multiLevelType w:val="hybridMultilevel"/>
    <w:tmpl w:val="5DDE85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6914D9"/>
    <w:multiLevelType w:val="hybridMultilevel"/>
    <w:tmpl w:val="E7926892"/>
    <w:lvl w:ilvl="0" w:tplc="4B0EADB6">
      <w:start w:val="1"/>
      <w:numFmt w:val="decimal"/>
      <w:lvlText w:val="%1."/>
      <w:lvlJc w:val="left"/>
      <w:pPr>
        <w:tabs>
          <w:tab w:val="num" w:pos="720"/>
        </w:tabs>
        <w:ind w:left="720" w:hanging="360"/>
      </w:pPr>
    </w:lvl>
    <w:lvl w:ilvl="1" w:tplc="A06CF11C" w:tentative="1">
      <w:start w:val="1"/>
      <w:numFmt w:val="decimal"/>
      <w:lvlText w:val="%2."/>
      <w:lvlJc w:val="left"/>
      <w:pPr>
        <w:tabs>
          <w:tab w:val="num" w:pos="1440"/>
        </w:tabs>
        <w:ind w:left="1440" w:hanging="360"/>
      </w:pPr>
    </w:lvl>
    <w:lvl w:ilvl="2" w:tplc="7C182F2C" w:tentative="1">
      <w:start w:val="1"/>
      <w:numFmt w:val="decimal"/>
      <w:lvlText w:val="%3."/>
      <w:lvlJc w:val="left"/>
      <w:pPr>
        <w:tabs>
          <w:tab w:val="num" w:pos="2160"/>
        </w:tabs>
        <w:ind w:left="2160" w:hanging="360"/>
      </w:pPr>
    </w:lvl>
    <w:lvl w:ilvl="3" w:tplc="2B12B7BE" w:tentative="1">
      <w:start w:val="1"/>
      <w:numFmt w:val="decimal"/>
      <w:lvlText w:val="%4."/>
      <w:lvlJc w:val="left"/>
      <w:pPr>
        <w:tabs>
          <w:tab w:val="num" w:pos="2880"/>
        </w:tabs>
        <w:ind w:left="2880" w:hanging="360"/>
      </w:pPr>
    </w:lvl>
    <w:lvl w:ilvl="4" w:tplc="887EA90E" w:tentative="1">
      <w:start w:val="1"/>
      <w:numFmt w:val="decimal"/>
      <w:lvlText w:val="%5."/>
      <w:lvlJc w:val="left"/>
      <w:pPr>
        <w:tabs>
          <w:tab w:val="num" w:pos="3600"/>
        </w:tabs>
        <w:ind w:left="3600" w:hanging="360"/>
      </w:pPr>
    </w:lvl>
    <w:lvl w:ilvl="5" w:tplc="01FA4E52" w:tentative="1">
      <w:start w:val="1"/>
      <w:numFmt w:val="decimal"/>
      <w:lvlText w:val="%6."/>
      <w:lvlJc w:val="left"/>
      <w:pPr>
        <w:tabs>
          <w:tab w:val="num" w:pos="4320"/>
        </w:tabs>
        <w:ind w:left="4320" w:hanging="360"/>
      </w:pPr>
    </w:lvl>
    <w:lvl w:ilvl="6" w:tplc="0CA6AF2A" w:tentative="1">
      <w:start w:val="1"/>
      <w:numFmt w:val="decimal"/>
      <w:lvlText w:val="%7."/>
      <w:lvlJc w:val="left"/>
      <w:pPr>
        <w:tabs>
          <w:tab w:val="num" w:pos="5040"/>
        </w:tabs>
        <w:ind w:left="5040" w:hanging="360"/>
      </w:pPr>
    </w:lvl>
    <w:lvl w:ilvl="7" w:tplc="5A8ABEF8" w:tentative="1">
      <w:start w:val="1"/>
      <w:numFmt w:val="decimal"/>
      <w:lvlText w:val="%8."/>
      <w:lvlJc w:val="left"/>
      <w:pPr>
        <w:tabs>
          <w:tab w:val="num" w:pos="5760"/>
        </w:tabs>
        <w:ind w:left="5760" w:hanging="360"/>
      </w:pPr>
    </w:lvl>
    <w:lvl w:ilvl="8" w:tplc="B448A8A8" w:tentative="1">
      <w:start w:val="1"/>
      <w:numFmt w:val="decimal"/>
      <w:lvlText w:val="%9."/>
      <w:lvlJc w:val="left"/>
      <w:pPr>
        <w:tabs>
          <w:tab w:val="num" w:pos="6480"/>
        </w:tabs>
        <w:ind w:left="6480" w:hanging="360"/>
      </w:pPr>
    </w:lvl>
  </w:abstractNum>
  <w:abstractNum w:abstractNumId="9" w15:restartNumberingAfterBreak="0">
    <w:nsid w:val="5F40670C"/>
    <w:multiLevelType w:val="hybridMultilevel"/>
    <w:tmpl w:val="5DDE85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91554E"/>
    <w:multiLevelType w:val="hybridMultilevel"/>
    <w:tmpl w:val="A49CA568"/>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start w:val="1"/>
      <w:numFmt w:val="lowerRoman"/>
      <w:lvlText w:val="%3."/>
      <w:lvlJc w:val="right"/>
      <w:pPr>
        <w:ind w:left="2210" w:hanging="180"/>
      </w:pPr>
    </w:lvl>
    <w:lvl w:ilvl="3" w:tplc="0809000F">
      <w:start w:val="1"/>
      <w:numFmt w:val="decimal"/>
      <w:lvlText w:val="%4."/>
      <w:lvlJc w:val="left"/>
      <w:pPr>
        <w:ind w:left="2930" w:hanging="360"/>
      </w:pPr>
    </w:lvl>
    <w:lvl w:ilvl="4" w:tplc="08090019">
      <w:start w:val="1"/>
      <w:numFmt w:val="lowerLetter"/>
      <w:lvlText w:val="%5."/>
      <w:lvlJc w:val="left"/>
      <w:pPr>
        <w:ind w:left="3650" w:hanging="360"/>
      </w:pPr>
    </w:lvl>
    <w:lvl w:ilvl="5" w:tplc="0809001B">
      <w:start w:val="1"/>
      <w:numFmt w:val="lowerRoman"/>
      <w:lvlText w:val="%6."/>
      <w:lvlJc w:val="right"/>
      <w:pPr>
        <w:ind w:left="4370" w:hanging="180"/>
      </w:pPr>
    </w:lvl>
    <w:lvl w:ilvl="6" w:tplc="0809000F">
      <w:start w:val="1"/>
      <w:numFmt w:val="decimal"/>
      <w:lvlText w:val="%7."/>
      <w:lvlJc w:val="left"/>
      <w:pPr>
        <w:ind w:left="5090" w:hanging="360"/>
      </w:pPr>
    </w:lvl>
    <w:lvl w:ilvl="7" w:tplc="08090019">
      <w:start w:val="1"/>
      <w:numFmt w:val="lowerLetter"/>
      <w:lvlText w:val="%8."/>
      <w:lvlJc w:val="left"/>
      <w:pPr>
        <w:ind w:left="5810" w:hanging="360"/>
      </w:pPr>
    </w:lvl>
    <w:lvl w:ilvl="8" w:tplc="0809001B">
      <w:start w:val="1"/>
      <w:numFmt w:val="lowerRoman"/>
      <w:lvlText w:val="%9."/>
      <w:lvlJc w:val="right"/>
      <w:pPr>
        <w:ind w:left="6530" w:hanging="180"/>
      </w:pPr>
    </w:lvl>
  </w:abstractNum>
  <w:abstractNum w:abstractNumId="11" w15:restartNumberingAfterBreak="0">
    <w:nsid w:val="70C22003"/>
    <w:multiLevelType w:val="multilevel"/>
    <w:tmpl w:val="7DAA4C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2271F4B"/>
    <w:multiLevelType w:val="hybridMultilevel"/>
    <w:tmpl w:val="FF40D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2E4974"/>
    <w:multiLevelType w:val="multilevel"/>
    <w:tmpl w:val="751A0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7"/>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4"/>
  </w:num>
  <w:num w:numId="8">
    <w:abstractNumId w:val="5"/>
  </w:num>
  <w:num w:numId="9">
    <w:abstractNumId w:val="0"/>
  </w:num>
  <w:num w:numId="10">
    <w:abstractNumId w:val="11"/>
  </w:num>
  <w:num w:numId="11">
    <w:abstractNumId w:val="8"/>
  </w:num>
  <w:num w:numId="12">
    <w:abstractNumId w:val="12"/>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A30"/>
    <w:rsid w:val="00097024"/>
    <w:rsid w:val="000B3430"/>
    <w:rsid w:val="000F3A78"/>
    <w:rsid w:val="000F51C3"/>
    <w:rsid w:val="00144564"/>
    <w:rsid w:val="00146B09"/>
    <w:rsid w:val="0015328A"/>
    <w:rsid w:val="00187A1F"/>
    <w:rsid w:val="001C4526"/>
    <w:rsid w:val="002016C8"/>
    <w:rsid w:val="00216FEA"/>
    <w:rsid w:val="002A1C1C"/>
    <w:rsid w:val="00303380"/>
    <w:rsid w:val="00322688"/>
    <w:rsid w:val="003A5CD2"/>
    <w:rsid w:val="003B3F89"/>
    <w:rsid w:val="003C2F7B"/>
    <w:rsid w:val="004032E0"/>
    <w:rsid w:val="00432B54"/>
    <w:rsid w:val="00440277"/>
    <w:rsid w:val="00483533"/>
    <w:rsid w:val="00483C95"/>
    <w:rsid w:val="00487D96"/>
    <w:rsid w:val="004E7EEA"/>
    <w:rsid w:val="0058628A"/>
    <w:rsid w:val="00595EFF"/>
    <w:rsid w:val="005D286B"/>
    <w:rsid w:val="00631284"/>
    <w:rsid w:val="006F5CB0"/>
    <w:rsid w:val="00717598"/>
    <w:rsid w:val="00737EFB"/>
    <w:rsid w:val="007D42EF"/>
    <w:rsid w:val="007E0830"/>
    <w:rsid w:val="00811106"/>
    <w:rsid w:val="0082085A"/>
    <w:rsid w:val="00845FD4"/>
    <w:rsid w:val="008A1616"/>
    <w:rsid w:val="009B1CAF"/>
    <w:rsid w:val="00A54A2C"/>
    <w:rsid w:val="00A56AA8"/>
    <w:rsid w:val="00A838F1"/>
    <w:rsid w:val="00AC340F"/>
    <w:rsid w:val="00BF7135"/>
    <w:rsid w:val="00C13585"/>
    <w:rsid w:val="00C15266"/>
    <w:rsid w:val="00C41079"/>
    <w:rsid w:val="00C62642"/>
    <w:rsid w:val="00CD326F"/>
    <w:rsid w:val="00D035FA"/>
    <w:rsid w:val="00D07529"/>
    <w:rsid w:val="00D8086A"/>
    <w:rsid w:val="00D85A30"/>
    <w:rsid w:val="00DC0727"/>
    <w:rsid w:val="00E22E0B"/>
    <w:rsid w:val="00E31D94"/>
    <w:rsid w:val="00E56208"/>
    <w:rsid w:val="00E95062"/>
    <w:rsid w:val="00EA72B6"/>
    <w:rsid w:val="00EB2824"/>
    <w:rsid w:val="00ED313D"/>
    <w:rsid w:val="00EE09FA"/>
    <w:rsid w:val="00F20CD0"/>
    <w:rsid w:val="00F62242"/>
    <w:rsid w:val="00F84293"/>
    <w:rsid w:val="00FA7AA3"/>
    <w:rsid w:val="00FC160D"/>
    <w:rsid w:val="00FD0FD6"/>
    <w:rsid w:val="00FF54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1892"/>
  <w15:docId w15:val="{3B63C1C2-F2EB-45CC-9010-4FDF8097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D85A3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D85A3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5A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A30"/>
  </w:style>
  <w:style w:type="paragraph" w:styleId="Footer">
    <w:name w:val="footer"/>
    <w:basedOn w:val="Normal"/>
    <w:link w:val="FooterChar"/>
    <w:uiPriority w:val="99"/>
    <w:unhideWhenUsed/>
    <w:rsid w:val="00D85A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A30"/>
  </w:style>
  <w:style w:type="character" w:customStyle="1" w:styleId="Heading2Char">
    <w:name w:val="Heading 2 Char"/>
    <w:basedOn w:val="DefaultParagraphFont"/>
    <w:link w:val="Heading2"/>
    <w:uiPriority w:val="9"/>
    <w:rsid w:val="00D85A30"/>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D85A30"/>
    <w:rPr>
      <w:rFonts w:asciiTheme="majorHAnsi" w:eastAsiaTheme="majorEastAsia" w:hAnsiTheme="majorHAnsi" w:cstheme="majorBidi"/>
      <w:b/>
      <w:bCs/>
      <w:color w:val="4472C4" w:themeColor="accent1"/>
    </w:rPr>
  </w:style>
  <w:style w:type="character" w:styleId="Hyperlink">
    <w:name w:val="Hyperlink"/>
    <w:basedOn w:val="DefaultParagraphFont"/>
    <w:uiPriority w:val="99"/>
    <w:unhideWhenUsed/>
    <w:rsid w:val="00187A1F"/>
    <w:rPr>
      <w:color w:val="0000FF"/>
      <w:u w:val="single"/>
    </w:rPr>
  </w:style>
  <w:style w:type="paragraph" w:styleId="FootnoteText">
    <w:name w:val="footnote text"/>
    <w:basedOn w:val="Normal"/>
    <w:link w:val="FootnoteTextChar"/>
    <w:uiPriority w:val="99"/>
    <w:semiHidden/>
    <w:unhideWhenUsed/>
    <w:rsid w:val="00187A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7A1F"/>
    <w:rPr>
      <w:sz w:val="20"/>
      <w:szCs w:val="20"/>
    </w:rPr>
  </w:style>
  <w:style w:type="character" w:styleId="FootnoteReference">
    <w:name w:val="footnote reference"/>
    <w:basedOn w:val="DefaultParagraphFont"/>
    <w:uiPriority w:val="99"/>
    <w:semiHidden/>
    <w:unhideWhenUsed/>
    <w:rsid w:val="00187A1F"/>
    <w:rPr>
      <w:vertAlign w:val="superscript"/>
    </w:rPr>
  </w:style>
  <w:style w:type="table" w:styleId="TableGrid">
    <w:name w:val="Table Grid"/>
    <w:basedOn w:val="TableNormal"/>
    <w:uiPriority w:val="39"/>
    <w:rsid w:val="00717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628A"/>
    <w:pPr>
      <w:ind w:left="720"/>
      <w:contextualSpacing/>
    </w:pPr>
  </w:style>
  <w:style w:type="character" w:styleId="UnresolvedMention">
    <w:name w:val="Unresolved Mention"/>
    <w:basedOn w:val="DefaultParagraphFont"/>
    <w:uiPriority w:val="99"/>
    <w:semiHidden/>
    <w:unhideWhenUsed/>
    <w:rsid w:val="00F622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561304">
      <w:bodyDiv w:val="1"/>
      <w:marLeft w:val="0"/>
      <w:marRight w:val="0"/>
      <w:marTop w:val="0"/>
      <w:marBottom w:val="0"/>
      <w:divBdr>
        <w:top w:val="none" w:sz="0" w:space="0" w:color="auto"/>
        <w:left w:val="none" w:sz="0" w:space="0" w:color="auto"/>
        <w:bottom w:val="none" w:sz="0" w:space="0" w:color="auto"/>
        <w:right w:val="none" w:sz="0" w:space="0" w:color="auto"/>
      </w:divBdr>
      <w:divsChild>
        <w:div w:id="1883666868">
          <w:marLeft w:val="720"/>
          <w:marRight w:val="0"/>
          <w:marTop w:val="0"/>
          <w:marBottom w:val="0"/>
          <w:divBdr>
            <w:top w:val="none" w:sz="0" w:space="0" w:color="auto"/>
            <w:left w:val="none" w:sz="0" w:space="0" w:color="auto"/>
            <w:bottom w:val="none" w:sz="0" w:space="0" w:color="auto"/>
            <w:right w:val="none" w:sz="0" w:space="0" w:color="auto"/>
          </w:divBdr>
        </w:div>
      </w:divsChild>
    </w:div>
    <w:div w:id="1961834641">
      <w:bodyDiv w:val="1"/>
      <w:marLeft w:val="0"/>
      <w:marRight w:val="0"/>
      <w:marTop w:val="0"/>
      <w:marBottom w:val="0"/>
      <w:divBdr>
        <w:top w:val="none" w:sz="0" w:space="0" w:color="auto"/>
        <w:left w:val="none" w:sz="0" w:space="0" w:color="auto"/>
        <w:bottom w:val="none" w:sz="0" w:space="0" w:color="auto"/>
        <w:right w:val="none" w:sz="0" w:space="0" w:color="auto"/>
      </w:divBdr>
      <w:divsChild>
        <w:div w:id="132608510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barthorp@goal.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V2bIYUjtq3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time_continue=72&amp;v=V2bDNKjQXs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nktothedocument xmlns="2b25d704-ef8b-4958-9e9c-58fa6e97cd75">
      <Url xsi:nil="true"/>
      <Description xsi:nil="true"/>
    </Linktothedocu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37956E19E1164DBBFD7519FCA2A2FF" ma:contentTypeVersion="13" ma:contentTypeDescription="Create a new document." ma:contentTypeScope="" ma:versionID="9f25eace2fe7a5eb01eea13412ff17af">
  <xsd:schema xmlns:xsd="http://www.w3.org/2001/XMLSchema" xmlns:xs="http://www.w3.org/2001/XMLSchema" xmlns:p="http://schemas.microsoft.com/office/2006/metadata/properties" xmlns:ns2="2b25d704-ef8b-4958-9e9c-58fa6e97cd75" xmlns:ns3="549700cb-8cbd-4942-909e-ce044ff32878" targetNamespace="http://schemas.microsoft.com/office/2006/metadata/properties" ma:root="true" ma:fieldsID="ffe315c58c6c0529cb4d051099d9f367" ns2:_="" ns3:_="">
    <xsd:import namespace="2b25d704-ef8b-4958-9e9c-58fa6e97cd75"/>
    <xsd:import namespace="549700cb-8cbd-4942-909e-ce044ff328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inktothedocument"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5d704-ef8b-4958-9e9c-58fa6e97cd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inktothedocument" ma:index="16" nillable="true" ma:displayName="Link to the document" ma:format="Hyperlink" ma:internalName="Linktothedocument">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9700cb-8cbd-4942-909e-ce044ff3287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EC43C-87BE-464B-A1E0-B51C23A883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240077-A5D9-4F88-9A2B-829594D19AE4}">
  <ds:schemaRefs>
    <ds:schemaRef ds:uri="http://schemas.microsoft.com/sharepoint/v3/contenttype/forms"/>
  </ds:schemaRefs>
</ds:datastoreItem>
</file>

<file path=customXml/itemProps3.xml><?xml version="1.0" encoding="utf-8"?>
<ds:datastoreItem xmlns:ds="http://schemas.openxmlformats.org/officeDocument/2006/customXml" ds:itemID="{224AA346-D98B-4E54-BC83-CF1BC1AE1129}">
  <ds:schemaRefs>
    <ds:schemaRef ds:uri="http://schemas.openxmlformats.org/officeDocument/2006/bibliography"/>
  </ds:schemaRefs>
</ds:datastoreItem>
</file>

<file path=customXml/itemProps4.xml><?xml version="1.0" encoding="utf-8"?>
<ds:datastoreItem xmlns:ds="http://schemas.openxmlformats.org/officeDocument/2006/customXml" ds:itemID="{8D7D6E4D-28D9-40C1-AB95-063E38299A5E}"/>
</file>

<file path=docProps/app.xml><?xml version="1.0" encoding="utf-8"?>
<Properties xmlns="http://schemas.openxmlformats.org/officeDocument/2006/extended-properties" xmlns:vt="http://schemas.openxmlformats.org/officeDocument/2006/docPropsVTypes">
  <Template>Normal</Template>
  <TotalTime>58</TotalTime>
  <Pages>4</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Sinead O'Mahony</dc:creator>
  <cp:lastModifiedBy>Marlene Hebie</cp:lastModifiedBy>
  <cp:revision>14</cp:revision>
  <dcterms:created xsi:type="dcterms:W3CDTF">2021-10-06T15:53:00Z</dcterms:created>
  <dcterms:modified xsi:type="dcterms:W3CDTF">2021-10-06T16:51:00Z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0x0101005037956E19E1164DBBFD7519FCA2A2FF</vt:lpwstr>
  </property>
</Properties>
</file>